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contextualSpacing/>
        <w:rPr>
          <w:rFonts w:hint="eastAsia" w:ascii="仿宋_GB2312" w:hAnsi="仿宋_GB2312" w:eastAsia="仿宋_GB2312" w:cs="仿宋_GB2312"/>
          <w:b w:val="0"/>
          <w:bCs w:val="0"/>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shd w:val="clear" w:color="auto" w:fill="FFFFFF"/>
          <w14:textFill>
            <w14:solidFill>
              <w14:schemeClr w14:val="tx1"/>
            </w14:solidFill>
          </w14:textFill>
        </w:rPr>
        <w:t>附件</w:t>
      </w:r>
      <w:r>
        <w:rPr>
          <w:rFonts w:hint="eastAsia" w:ascii="仿宋_GB2312" w:hAnsi="仿宋_GB2312" w:eastAsia="仿宋_GB2312" w:cs="仿宋_GB2312"/>
          <w:b w:val="0"/>
          <w:bCs w:val="0"/>
          <w:color w:val="000000" w:themeColor="text1"/>
          <w:kern w:val="0"/>
          <w:sz w:val="32"/>
          <w:szCs w:val="32"/>
          <w:shd w:val="clear" w:color="auto" w:fill="FFFFFF"/>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kern w:val="0"/>
          <w:sz w:val="32"/>
          <w:szCs w:val="32"/>
          <w:shd w:val="clear" w:color="auto" w:fill="FFFFFF"/>
          <w14:textFill>
            <w14:solidFill>
              <w14:schemeClr w14:val="tx1"/>
            </w14:solidFill>
          </w14:textFill>
        </w:rPr>
        <w:t>：</w:t>
      </w:r>
    </w:p>
    <w:p>
      <w:pPr>
        <w:pStyle w:val="2"/>
        <w:widowControl/>
        <w:snapToGrid w:val="0"/>
        <w:spacing w:beforeAutospacing="0" w:afterAutospacing="0"/>
        <w:contextualSpacing/>
        <w:jc w:val="center"/>
        <w:rPr>
          <w:rFonts w:hint="eastAsia" w:ascii="方正小标宋_GBK" w:hAnsi="方正小标宋_GBK" w:eastAsia="方正小标宋_GBK" w:cs="方正小标宋_GBK"/>
          <w:b w:val="0"/>
          <w:bCs w:val="0"/>
          <w:color w:val="000000" w:themeColor="text1"/>
          <w:sz w:val="36"/>
          <w:szCs w:val="36"/>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36"/>
          <w:szCs w:val="36"/>
          <w14:textFill>
            <w14:solidFill>
              <w14:schemeClr w14:val="tx1"/>
            </w14:solidFill>
          </w14:textFill>
        </w:rPr>
        <w:t>襄阳四中德育教育基地（校史陈列馆）</w:t>
      </w:r>
    </w:p>
    <w:p>
      <w:pPr>
        <w:pStyle w:val="2"/>
        <w:widowControl/>
        <w:snapToGrid w:val="0"/>
        <w:spacing w:beforeAutospacing="0" w:afterAutospacing="0"/>
        <w:contextualSpacing/>
        <w:jc w:val="center"/>
        <w:rPr>
          <w:rFonts w:hint="eastAsia" w:ascii="方正小标宋_GBK" w:hAnsi="方正小标宋_GBK" w:eastAsia="方正小标宋_GBK" w:cs="方正小标宋_GBK"/>
          <w:b w:val="0"/>
          <w:bCs w:val="0"/>
          <w:color w:val="000000" w:themeColor="text1"/>
          <w:sz w:val="36"/>
          <w:szCs w:val="36"/>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36"/>
          <w:szCs w:val="36"/>
          <w14:textFill>
            <w14:solidFill>
              <w14:schemeClr w14:val="tx1"/>
            </w14:solidFill>
          </w14:textFill>
        </w:rPr>
        <w:t>与校园文化二期建设规划设计要求</w:t>
      </w:r>
    </w:p>
    <w:p>
      <w:pPr>
        <w:pStyle w:val="5"/>
        <w:snapToGrid w:val="0"/>
        <w:spacing w:line="360" w:lineRule="auto"/>
        <w:ind w:firstLine="640" w:firstLineChars="200"/>
        <w:contextualSpacing/>
        <w:rPr>
          <w:rFonts w:hint="eastAsia" w:ascii="黑体" w:hAnsi="黑体" w:eastAsia="黑体"/>
          <w:b w:val="0"/>
          <w:bCs w:val="0"/>
          <w:color w:val="000000" w:themeColor="text1"/>
          <w:sz w:val="32"/>
          <w:szCs w:val="32"/>
          <w14:textFill>
            <w14:solidFill>
              <w14:schemeClr w14:val="tx1"/>
            </w14:solidFill>
          </w14:textFill>
        </w:rPr>
      </w:pPr>
    </w:p>
    <w:p>
      <w:pPr>
        <w:pStyle w:val="5"/>
        <w:snapToGrid w:val="0"/>
        <w:spacing w:line="360" w:lineRule="auto"/>
        <w:ind w:firstLine="640" w:firstLineChars="200"/>
        <w:contextualSpacing/>
        <w:rPr>
          <w:rFonts w:ascii="黑体" w:hAnsi="黑体" w:eastAsia="黑体"/>
          <w:b w:val="0"/>
          <w:bCs w:val="0"/>
          <w:color w:val="000000" w:themeColor="text1"/>
          <w:sz w:val="32"/>
          <w:szCs w:val="32"/>
          <w14:textFill>
            <w14:solidFill>
              <w14:schemeClr w14:val="tx1"/>
            </w14:solidFill>
          </w14:textFill>
        </w:rPr>
      </w:pPr>
      <w:r>
        <w:rPr>
          <w:rFonts w:hint="eastAsia" w:ascii="黑体" w:hAnsi="黑体" w:eastAsia="黑体"/>
          <w:b w:val="0"/>
          <w:bCs w:val="0"/>
          <w:color w:val="000000" w:themeColor="text1"/>
          <w:sz w:val="32"/>
          <w:szCs w:val="32"/>
          <w14:textFill>
            <w14:solidFill>
              <w14:schemeClr w14:val="tx1"/>
            </w14:solidFill>
          </w14:textFill>
        </w:rPr>
        <w:t>一、设计内容包含：</w:t>
      </w:r>
    </w:p>
    <w:p>
      <w:pPr>
        <w:pStyle w:val="5"/>
        <w:snapToGrid w:val="0"/>
        <w:spacing w:line="360" w:lineRule="auto"/>
        <w:ind w:firstLine="640" w:firstLineChars="200"/>
        <w:contextualSpacing/>
        <w:rPr>
          <w:rFonts w:ascii="仿宋_GB2312" w:hAnsi="Times New Roman" w:eastAsia="仿宋_GB2312"/>
          <w:b w:val="0"/>
          <w:bCs w:val="0"/>
          <w:color w:val="000000" w:themeColor="text1"/>
          <w:sz w:val="32"/>
          <w:szCs w:val="32"/>
          <w14:textFill>
            <w14:solidFill>
              <w14:schemeClr w14:val="tx1"/>
            </w14:solidFill>
          </w14:textFill>
        </w:rPr>
      </w:pPr>
      <w:r>
        <w:rPr>
          <w:rFonts w:hint="eastAsia" w:ascii="仿宋_GB2312" w:hAnsi="Times New Roman" w:eastAsia="仿宋_GB2312"/>
          <w:b w:val="0"/>
          <w:bCs w:val="0"/>
          <w:color w:val="000000" w:themeColor="text1"/>
          <w:sz w:val="32"/>
          <w:szCs w:val="32"/>
          <w14:textFill>
            <w14:solidFill>
              <w14:schemeClr w14:val="tx1"/>
            </w14:solidFill>
          </w14:textFill>
        </w:rPr>
        <w:t>1</w:t>
      </w:r>
      <w:r>
        <w:rPr>
          <w:rFonts w:hint="eastAsia" w:ascii="仿宋_GB2312" w:hAnsi="宋体" w:eastAsia="仿宋_GB2312"/>
          <w:b w:val="0"/>
          <w:bCs w:val="0"/>
          <w:color w:val="000000" w:themeColor="text1"/>
          <w:sz w:val="32"/>
          <w:szCs w:val="32"/>
          <w14:textFill>
            <w14:solidFill>
              <w14:schemeClr w14:val="tx1"/>
            </w14:solidFill>
          </w14:textFill>
        </w:rPr>
        <w:t>.</w:t>
      </w:r>
      <w:r>
        <w:rPr>
          <w:rFonts w:hint="eastAsia" w:ascii="仿宋_GB2312" w:hAnsi="Times New Roman" w:eastAsia="仿宋_GB2312"/>
          <w:b w:val="0"/>
          <w:bCs w:val="0"/>
          <w:color w:val="000000" w:themeColor="text1"/>
          <w:sz w:val="32"/>
          <w:szCs w:val="32"/>
          <w14:textFill>
            <w14:solidFill>
              <w14:schemeClr w14:val="tx1"/>
            </w14:solidFill>
          </w14:textFill>
        </w:rPr>
        <w:t>建筑改造：对原建筑外立面、建筑结构制定改造方案，满足展陈需求；</w:t>
      </w:r>
    </w:p>
    <w:p>
      <w:pPr>
        <w:pStyle w:val="5"/>
        <w:snapToGrid w:val="0"/>
        <w:spacing w:line="360" w:lineRule="auto"/>
        <w:ind w:firstLine="640" w:firstLineChars="200"/>
        <w:contextualSpacing/>
        <w:rPr>
          <w:rFonts w:ascii="仿宋_GB2312" w:hAnsi="Times New Roman" w:eastAsia="仿宋_GB2312"/>
          <w:b w:val="0"/>
          <w:bCs w:val="0"/>
          <w:color w:val="000000" w:themeColor="text1"/>
          <w:sz w:val="32"/>
          <w:szCs w:val="32"/>
          <w14:textFill>
            <w14:solidFill>
              <w14:schemeClr w14:val="tx1"/>
            </w14:solidFill>
          </w14:textFill>
        </w:rPr>
      </w:pPr>
      <w:r>
        <w:rPr>
          <w:rFonts w:hint="eastAsia" w:ascii="仿宋_GB2312" w:hAnsi="Times New Roman" w:eastAsia="仿宋_GB2312"/>
          <w:b w:val="0"/>
          <w:bCs w:val="0"/>
          <w:color w:val="000000" w:themeColor="text1"/>
          <w:sz w:val="32"/>
          <w:szCs w:val="32"/>
          <w14:textFill>
            <w14:solidFill>
              <w14:schemeClr w14:val="tx1"/>
            </w14:solidFill>
          </w14:textFill>
        </w:rPr>
        <w:t>2</w:t>
      </w:r>
      <w:r>
        <w:rPr>
          <w:rFonts w:hint="eastAsia" w:ascii="仿宋_GB2312" w:hAnsi="宋体" w:eastAsia="仿宋_GB2312"/>
          <w:b w:val="0"/>
          <w:bCs w:val="0"/>
          <w:color w:val="000000" w:themeColor="text1"/>
          <w:sz w:val="32"/>
          <w:szCs w:val="32"/>
          <w14:textFill>
            <w14:solidFill>
              <w14:schemeClr w14:val="tx1"/>
            </w14:solidFill>
          </w14:textFill>
        </w:rPr>
        <w:t>.</w:t>
      </w:r>
      <w:r>
        <w:rPr>
          <w:rFonts w:hint="eastAsia" w:ascii="仿宋_GB2312" w:hAnsi="Times New Roman" w:eastAsia="仿宋_GB2312"/>
          <w:b w:val="0"/>
          <w:bCs w:val="0"/>
          <w:color w:val="000000" w:themeColor="text1"/>
          <w:sz w:val="32"/>
          <w:szCs w:val="32"/>
          <w14:textFill>
            <w14:solidFill>
              <w14:schemeClr w14:val="tx1"/>
            </w14:solidFill>
          </w14:textFill>
        </w:rPr>
        <w:t>机电改造：对机电设备定改造方案，包含水、电、空调、消防、智能化；</w:t>
      </w:r>
    </w:p>
    <w:p>
      <w:pPr>
        <w:pStyle w:val="5"/>
        <w:snapToGrid w:val="0"/>
        <w:spacing w:line="360" w:lineRule="auto"/>
        <w:ind w:firstLine="640" w:firstLineChars="200"/>
        <w:contextualSpacing/>
        <w:rPr>
          <w:rFonts w:ascii="仿宋_GB2312" w:hAnsi="Times New Roman" w:eastAsia="仿宋_GB2312"/>
          <w:b w:val="0"/>
          <w:bCs w:val="0"/>
          <w:color w:val="000000" w:themeColor="text1"/>
          <w:sz w:val="32"/>
          <w:szCs w:val="32"/>
          <w14:textFill>
            <w14:solidFill>
              <w14:schemeClr w14:val="tx1"/>
            </w14:solidFill>
          </w14:textFill>
        </w:rPr>
      </w:pPr>
      <w:r>
        <w:rPr>
          <w:rFonts w:hint="eastAsia" w:ascii="仿宋_GB2312" w:hAnsi="Times New Roman" w:eastAsia="仿宋_GB2312"/>
          <w:b w:val="0"/>
          <w:bCs w:val="0"/>
          <w:color w:val="000000" w:themeColor="text1"/>
          <w:sz w:val="32"/>
          <w:szCs w:val="32"/>
          <w14:textFill>
            <w14:solidFill>
              <w14:schemeClr w14:val="tx1"/>
            </w14:solidFill>
          </w14:textFill>
        </w:rPr>
        <w:t>3</w:t>
      </w:r>
      <w:r>
        <w:rPr>
          <w:rFonts w:hint="eastAsia" w:ascii="仿宋_GB2312" w:hAnsi="宋体" w:eastAsia="仿宋_GB2312"/>
          <w:b w:val="0"/>
          <w:bCs w:val="0"/>
          <w:color w:val="000000" w:themeColor="text1"/>
          <w:sz w:val="32"/>
          <w:szCs w:val="32"/>
          <w14:textFill>
            <w14:solidFill>
              <w14:schemeClr w14:val="tx1"/>
            </w14:solidFill>
          </w14:textFill>
        </w:rPr>
        <w:t>.</w:t>
      </w:r>
      <w:r>
        <w:rPr>
          <w:rFonts w:hint="eastAsia" w:ascii="仿宋_GB2312" w:hAnsi="Times New Roman" w:eastAsia="仿宋_GB2312"/>
          <w:b w:val="0"/>
          <w:bCs w:val="0"/>
          <w:color w:val="000000" w:themeColor="text1"/>
          <w:sz w:val="32"/>
          <w:szCs w:val="32"/>
          <w14:textFill>
            <w14:solidFill>
              <w14:schemeClr w14:val="tx1"/>
            </w14:solidFill>
          </w14:textFill>
        </w:rPr>
        <w:t>室内装饰：按照相关功能需求对室内装饰制定改造方案；</w:t>
      </w:r>
    </w:p>
    <w:p>
      <w:pPr>
        <w:pStyle w:val="5"/>
        <w:snapToGrid w:val="0"/>
        <w:spacing w:line="360" w:lineRule="auto"/>
        <w:ind w:firstLine="640" w:firstLineChars="200"/>
        <w:contextualSpacing/>
        <w:rPr>
          <w:rFonts w:ascii="仿宋_GB2312" w:hAnsi="Times New Roman" w:eastAsia="仿宋_GB2312"/>
          <w:b w:val="0"/>
          <w:bCs w:val="0"/>
          <w:color w:val="000000" w:themeColor="text1"/>
          <w:sz w:val="32"/>
          <w:szCs w:val="32"/>
          <w14:textFill>
            <w14:solidFill>
              <w14:schemeClr w14:val="tx1"/>
            </w14:solidFill>
          </w14:textFill>
        </w:rPr>
      </w:pPr>
      <w:r>
        <w:rPr>
          <w:rFonts w:hint="eastAsia" w:ascii="仿宋_GB2312" w:hAnsi="Times New Roman" w:eastAsia="仿宋_GB2312"/>
          <w:b w:val="0"/>
          <w:bCs w:val="0"/>
          <w:color w:val="000000" w:themeColor="text1"/>
          <w:sz w:val="32"/>
          <w:szCs w:val="32"/>
          <w14:textFill>
            <w14:solidFill>
              <w14:schemeClr w14:val="tx1"/>
            </w14:solidFill>
          </w14:textFill>
        </w:rPr>
        <w:t>4</w:t>
      </w:r>
      <w:r>
        <w:rPr>
          <w:rFonts w:hint="eastAsia" w:ascii="仿宋_GB2312" w:hAnsi="宋体" w:eastAsia="仿宋_GB2312"/>
          <w:b w:val="0"/>
          <w:bCs w:val="0"/>
          <w:color w:val="000000" w:themeColor="text1"/>
          <w:sz w:val="32"/>
          <w:szCs w:val="32"/>
          <w14:textFill>
            <w14:solidFill>
              <w14:schemeClr w14:val="tx1"/>
            </w14:solidFill>
          </w14:textFill>
        </w:rPr>
        <w:t>.</w:t>
      </w:r>
      <w:r>
        <w:rPr>
          <w:rFonts w:hint="eastAsia" w:ascii="仿宋_GB2312" w:hAnsi="Times New Roman" w:eastAsia="仿宋_GB2312"/>
          <w:b w:val="0"/>
          <w:bCs w:val="0"/>
          <w:color w:val="000000" w:themeColor="text1"/>
          <w:sz w:val="32"/>
          <w:szCs w:val="32"/>
          <w14:textFill>
            <w14:solidFill>
              <w14:schemeClr w14:val="tx1"/>
            </w14:solidFill>
          </w14:textFill>
        </w:rPr>
        <w:t>展览展示：根据业主单位提供的设计需求，结合四中发展历程，制定完善的展览展示设计；</w:t>
      </w:r>
    </w:p>
    <w:p>
      <w:pPr>
        <w:pStyle w:val="5"/>
        <w:snapToGrid w:val="0"/>
        <w:spacing w:line="360" w:lineRule="auto"/>
        <w:ind w:firstLine="640" w:firstLineChars="200"/>
        <w:contextualSpacing/>
        <w:rPr>
          <w:rFonts w:ascii="仿宋_GB2312" w:hAnsi="Times New Roman" w:eastAsia="仿宋_GB2312"/>
          <w:b w:val="0"/>
          <w:bCs w:val="0"/>
          <w:color w:val="000000" w:themeColor="text1"/>
          <w:sz w:val="32"/>
          <w:szCs w:val="32"/>
          <w14:textFill>
            <w14:solidFill>
              <w14:schemeClr w14:val="tx1"/>
            </w14:solidFill>
          </w14:textFill>
        </w:rPr>
      </w:pPr>
      <w:r>
        <w:rPr>
          <w:rFonts w:hint="eastAsia" w:ascii="仿宋_GB2312" w:hAnsi="Times New Roman" w:eastAsia="仿宋_GB2312"/>
          <w:b w:val="0"/>
          <w:bCs w:val="0"/>
          <w:color w:val="000000" w:themeColor="text1"/>
          <w:sz w:val="32"/>
          <w:szCs w:val="32"/>
          <w14:textFill>
            <w14:solidFill>
              <w14:schemeClr w14:val="tx1"/>
            </w14:solidFill>
          </w14:textFill>
        </w:rPr>
        <w:t>5</w:t>
      </w:r>
      <w:r>
        <w:rPr>
          <w:rFonts w:hint="eastAsia" w:ascii="仿宋_GB2312" w:hAnsi="宋体" w:eastAsia="仿宋_GB2312"/>
          <w:b w:val="0"/>
          <w:bCs w:val="0"/>
          <w:color w:val="000000" w:themeColor="text1"/>
          <w:sz w:val="32"/>
          <w:szCs w:val="32"/>
          <w14:textFill>
            <w14:solidFill>
              <w14:schemeClr w14:val="tx1"/>
            </w14:solidFill>
          </w14:textFill>
        </w:rPr>
        <w:t>.</w:t>
      </w:r>
      <w:r>
        <w:rPr>
          <w:rFonts w:hint="eastAsia" w:ascii="仿宋_GB2312" w:hAnsi="Times New Roman" w:eastAsia="仿宋_GB2312"/>
          <w:b w:val="0"/>
          <w:bCs w:val="0"/>
          <w:color w:val="000000" w:themeColor="text1"/>
          <w:sz w:val="32"/>
          <w:szCs w:val="32"/>
          <w14:textFill>
            <w14:solidFill>
              <w14:schemeClr w14:val="tx1"/>
            </w14:solidFill>
          </w14:textFill>
        </w:rPr>
        <w:t>室外景观：结合展览展示方案及需求，对建筑周边景观制定改造方案。</w:t>
      </w:r>
      <w:bookmarkStart w:id="0" w:name="_Toc79682704"/>
      <w:bookmarkStart w:id="1" w:name="_Toc256000095"/>
    </w:p>
    <w:bookmarkEnd w:id="0"/>
    <w:bookmarkEnd w:id="1"/>
    <w:p>
      <w:pPr>
        <w:pStyle w:val="5"/>
        <w:snapToGrid w:val="0"/>
        <w:spacing w:line="360" w:lineRule="auto"/>
        <w:ind w:firstLine="569" w:firstLineChars="178"/>
        <w:contextualSpacing/>
        <w:outlineLvl w:val="2"/>
        <w:rPr>
          <w:rFonts w:ascii="黑体" w:hAnsi="黑体" w:eastAsia="黑体"/>
          <w:b w:val="0"/>
          <w:bCs w:val="0"/>
          <w:color w:val="000000" w:themeColor="text1"/>
          <w:sz w:val="32"/>
          <w:szCs w:val="32"/>
          <w14:textFill>
            <w14:solidFill>
              <w14:schemeClr w14:val="tx1"/>
            </w14:solidFill>
          </w14:textFill>
        </w:rPr>
      </w:pPr>
      <w:bookmarkStart w:id="2" w:name="_Toc79682705"/>
      <w:bookmarkStart w:id="3" w:name="_Toc256000096"/>
      <w:r>
        <w:rPr>
          <w:rFonts w:hint="eastAsia" w:ascii="黑体" w:hAnsi="黑体" w:eastAsia="黑体"/>
          <w:b w:val="0"/>
          <w:bCs w:val="0"/>
          <w:color w:val="000000" w:themeColor="text1"/>
          <w:sz w:val="32"/>
          <w:szCs w:val="32"/>
          <w14:textFill>
            <w14:solidFill>
              <w14:schemeClr w14:val="tx1"/>
            </w14:solidFill>
          </w14:textFill>
        </w:rPr>
        <w:t>二、设计依据</w:t>
      </w:r>
      <w:bookmarkEnd w:id="2"/>
      <w:bookmarkEnd w:id="3"/>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本项目的设计必须贯彻执行国家及湖北省当地有关工程建设的政策和法规，应符合现行的建筑工程建设标准、设计规范制图标准、标准及规范必须达到以下现行版的中华人民共和国有关法规的要求，包括但不限于以下规范（以国家最新规范为准）：</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1.《中华人民共和国建筑法》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2.《建筑工程设计文件编制深度规定》（2016年版）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3.《公共建筑节能设计标准》GB50189-2015）</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4.《建筑内部装修设计防火规范》GB50222-2017</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5.《民用建筑设计通则》GB50352-2017）</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6.《工程建设标准强制性条文》房屋建设部分(2013版)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7.《全国民用建筑工程设计技术措施》（2009年版）（建质[2009]124号）《建筑内部装修设计防火规范》GB50222-2017</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8.《民用建筑室内环境污染控制规范》GB50325-2010(2013版)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9.《室内装饰装修材料内墙涂料中甲醛释放限量》GB18582-2008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10.《建筑结构荷载规范》GB50009-2012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11.《砌体结构设计规范》GB50003-2012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12.《民用建筑电气设计规范》JGJ16-2008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13.《建筑装饰装修工程质量验收标准》GB50210-2018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14.《建筑结构可靠度设计统一标准》GB50068-2001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15.《建筑安装分项工程施工工艺规程》DBJ/T01-26-2003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16.《铝合金门窗》GB/T8478-2008 </w:t>
      </w:r>
    </w:p>
    <w:p>
      <w:pPr>
        <w:pStyle w:val="5"/>
        <w:snapToGrid w:val="0"/>
        <w:spacing w:line="360" w:lineRule="auto"/>
        <w:ind w:firstLine="585" w:firstLineChars="183"/>
        <w:contextualSpacing/>
        <w:rPr>
          <w:rFonts w:ascii="仿宋_GB2312" w:hAnsi="宋体" w:eastAsia="仿宋_GB2312"/>
          <w:b w:val="0"/>
          <w:bCs w:val="0"/>
          <w:sz w:val="32"/>
          <w:szCs w:val="32"/>
        </w:rPr>
      </w:pPr>
      <w:r>
        <w:rPr>
          <w:rFonts w:hint="eastAsia" w:ascii="仿宋_GB2312" w:hAnsi="宋体" w:eastAsia="仿宋_GB2312"/>
          <w:b w:val="0"/>
          <w:bCs w:val="0"/>
          <w:sz w:val="32"/>
          <w:szCs w:val="32"/>
        </w:rPr>
        <w:t xml:space="preserve">上述标准、规范及规程仅是本工程的最基本依据，并未包括实施中所涉及到的所有标准、规范及规程，并且所用标准和技术规范均应为合同签订之日为止的最新版本。 </w:t>
      </w:r>
    </w:p>
    <w:p>
      <w:pPr>
        <w:pStyle w:val="5"/>
        <w:numPr>
          <w:ilvl w:val="0"/>
          <w:numId w:val="1"/>
        </w:numPr>
        <w:snapToGrid w:val="0"/>
        <w:spacing w:line="360" w:lineRule="auto"/>
        <w:contextualSpacing/>
        <w:rPr>
          <w:rFonts w:ascii="黑体" w:hAnsi="黑体" w:eastAsia="黑体"/>
          <w:b w:val="0"/>
          <w:bCs w:val="0"/>
          <w:sz w:val="32"/>
          <w:szCs w:val="32"/>
        </w:rPr>
      </w:pPr>
      <w:r>
        <w:rPr>
          <w:rFonts w:hint="eastAsia" w:ascii="黑体" w:hAnsi="黑体" w:eastAsia="黑体"/>
          <w:b w:val="0"/>
          <w:bCs w:val="0"/>
          <w:sz w:val="32"/>
          <w:szCs w:val="32"/>
        </w:rPr>
        <w:t>其他设计要求</w:t>
      </w:r>
      <w:bookmarkStart w:id="4" w:name="_Toc256000100"/>
      <w:bookmarkStart w:id="5" w:name="_Toc79682709"/>
    </w:p>
    <w:p>
      <w:pPr>
        <w:pStyle w:val="5"/>
        <w:snapToGrid w:val="0"/>
        <w:spacing w:line="360" w:lineRule="auto"/>
        <w:ind w:left="640"/>
        <w:contextualSpacing/>
        <w:rPr>
          <w:rFonts w:ascii="楷体_GB2312" w:hAnsi="黑体" w:eastAsia="楷体_GB2312"/>
          <w:b w:val="0"/>
          <w:bCs w:val="0"/>
          <w:sz w:val="32"/>
          <w:szCs w:val="32"/>
        </w:rPr>
      </w:pPr>
      <w:r>
        <w:rPr>
          <w:rFonts w:hint="eastAsia" w:ascii="楷体_GB2312" w:hAnsi="黑体" w:eastAsia="楷体_GB2312"/>
          <w:b w:val="0"/>
          <w:bCs w:val="0"/>
          <w:sz w:val="32"/>
          <w:szCs w:val="32"/>
        </w:rPr>
        <w:t>1.</w:t>
      </w:r>
      <w:r>
        <w:rPr>
          <w:rFonts w:hint="eastAsia" w:ascii="楷体_GB2312" w:hAnsi="Times New Roman" w:eastAsia="楷体_GB2312"/>
          <w:b w:val="0"/>
          <w:bCs w:val="0"/>
          <w:sz w:val="32"/>
          <w:szCs w:val="32"/>
        </w:rPr>
        <w:t>弱电智能化</w:t>
      </w:r>
      <w:bookmarkEnd w:id="4"/>
      <w:bookmarkEnd w:id="5"/>
      <w:r>
        <w:rPr>
          <w:rFonts w:hint="eastAsia" w:ascii="楷体_GB2312" w:hAnsi="Times New Roman" w:eastAsia="楷体_GB2312"/>
          <w:b w:val="0"/>
          <w:bCs w:val="0"/>
          <w:sz w:val="32"/>
          <w:szCs w:val="32"/>
        </w:rPr>
        <w:t>要求</w:t>
      </w:r>
    </w:p>
    <w:p>
      <w:pPr>
        <w:pStyle w:val="5"/>
        <w:snapToGrid w:val="0"/>
        <w:spacing w:line="360" w:lineRule="auto"/>
        <w:ind w:firstLine="640" w:firstLineChars="200"/>
        <w:contextualSpacing/>
        <w:rPr>
          <w:rFonts w:ascii="仿宋_GB2312" w:hAnsi="Times New Roman" w:eastAsia="仿宋_GB2312"/>
          <w:b w:val="0"/>
          <w:bCs w:val="0"/>
          <w:sz w:val="32"/>
          <w:szCs w:val="32"/>
        </w:rPr>
      </w:pPr>
      <w:r>
        <w:rPr>
          <w:rFonts w:hint="eastAsia" w:ascii="仿宋_GB2312" w:hAnsi="Times New Roman" w:eastAsia="仿宋_GB2312"/>
          <w:b w:val="0"/>
          <w:bCs w:val="0"/>
          <w:sz w:val="32"/>
          <w:szCs w:val="32"/>
        </w:rPr>
        <w:t>包括但不限于综合布线系统、计算机网络系统、信息发布及引导系统、IP广播及背景音乐系统、多媒体会议系统、数字监控系统、防盗报警系统、门禁一卡通系统、智能照明系统、LED显示大屏系统、综合管路工程、机房工程等。</w:t>
      </w:r>
    </w:p>
    <w:p>
      <w:pPr>
        <w:pStyle w:val="5"/>
        <w:snapToGrid w:val="0"/>
        <w:spacing w:line="360" w:lineRule="auto"/>
        <w:ind w:firstLine="640" w:firstLineChars="200"/>
        <w:contextualSpacing/>
        <w:rPr>
          <w:rFonts w:ascii="楷体_GB2312" w:hAnsi="Times New Roman" w:eastAsia="楷体_GB2312"/>
          <w:b w:val="0"/>
          <w:bCs w:val="0"/>
          <w:sz w:val="32"/>
          <w:szCs w:val="32"/>
        </w:rPr>
      </w:pPr>
      <w:r>
        <w:rPr>
          <w:rFonts w:hint="eastAsia" w:ascii="楷体_GB2312" w:hAnsi="Times New Roman" w:eastAsia="楷体_GB2312"/>
          <w:b w:val="0"/>
          <w:bCs w:val="0"/>
          <w:sz w:val="32"/>
          <w:szCs w:val="32"/>
        </w:rPr>
        <w:t>2.</w:t>
      </w:r>
      <w:r>
        <w:rPr>
          <w:rFonts w:hint="eastAsia" w:ascii="楷体_GB2312" w:hAnsi="黑体" w:eastAsia="楷体_GB2312"/>
          <w:b w:val="0"/>
          <w:bCs w:val="0"/>
          <w:sz w:val="32"/>
          <w:szCs w:val="32"/>
        </w:rPr>
        <w:t>消防改造要求</w:t>
      </w:r>
    </w:p>
    <w:p>
      <w:pPr>
        <w:pStyle w:val="5"/>
        <w:snapToGrid w:val="0"/>
        <w:spacing w:line="360" w:lineRule="auto"/>
        <w:ind w:firstLine="640" w:firstLineChars="20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消防二次改造及其配套工程范围内消防系统的全覆盖，包括但不限于：</w:t>
      </w:r>
    </w:p>
    <w:p>
      <w:pPr>
        <w:pStyle w:val="5"/>
        <w:snapToGrid w:val="0"/>
        <w:spacing w:line="360" w:lineRule="auto"/>
        <w:ind w:firstLine="640" w:firstLineChars="20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（1）消火栓给水系统；</w:t>
      </w:r>
    </w:p>
    <w:p>
      <w:pPr>
        <w:pStyle w:val="5"/>
        <w:snapToGrid w:val="0"/>
        <w:spacing w:line="360" w:lineRule="auto"/>
        <w:ind w:firstLine="640" w:firstLineChars="20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（2）火灾自动报警系统；</w:t>
      </w:r>
    </w:p>
    <w:p>
      <w:pPr>
        <w:pStyle w:val="5"/>
        <w:snapToGrid w:val="0"/>
        <w:spacing w:line="360" w:lineRule="auto"/>
        <w:ind w:firstLine="640" w:firstLineChars="20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（3）消防联动系统；</w:t>
      </w:r>
    </w:p>
    <w:p>
      <w:pPr>
        <w:pStyle w:val="5"/>
        <w:snapToGrid w:val="0"/>
        <w:spacing w:line="360" w:lineRule="auto"/>
        <w:ind w:left="64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（4）灭火器及消防标准化标示；</w:t>
      </w:r>
    </w:p>
    <w:p>
      <w:pPr>
        <w:pStyle w:val="5"/>
        <w:snapToGrid w:val="0"/>
        <w:spacing w:line="360" w:lineRule="auto"/>
        <w:ind w:firstLine="640" w:firstLineChars="20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（5）防火门及监控系统</w:t>
      </w:r>
      <w:bookmarkStart w:id="6" w:name="_Toc256000103"/>
      <w:bookmarkStart w:id="7" w:name="_Toc79682712"/>
      <w:r>
        <w:rPr>
          <w:rFonts w:hint="eastAsia" w:ascii="仿宋_GB2312" w:hAnsi="黑体" w:eastAsia="仿宋_GB2312"/>
          <w:b w:val="0"/>
          <w:bCs w:val="0"/>
          <w:sz w:val="32"/>
          <w:szCs w:val="32"/>
        </w:rPr>
        <w:t>。</w:t>
      </w:r>
    </w:p>
    <w:p>
      <w:pPr>
        <w:pStyle w:val="5"/>
        <w:snapToGrid w:val="0"/>
        <w:spacing w:line="360" w:lineRule="auto"/>
        <w:ind w:firstLine="640" w:firstLineChars="200"/>
        <w:contextualSpacing/>
        <w:rPr>
          <w:rFonts w:ascii="楷体_GB2312" w:hAnsi="黑体" w:eastAsia="楷体_GB2312"/>
          <w:b w:val="0"/>
          <w:bCs w:val="0"/>
          <w:sz w:val="32"/>
          <w:szCs w:val="32"/>
        </w:rPr>
      </w:pPr>
      <w:r>
        <w:rPr>
          <w:rFonts w:hint="eastAsia" w:ascii="楷体_GB2312" w:hAnsi="黑体" w:eastAsia="楷体_GB2312"/>
          <w:b w:val="0"/>
          <w:bCs w:val="0"/>
          <w:sz w:val="32"/>
          <w:szCs w:val="32"/>
        </w:rPr>
        <w:t>3.暖通空调</w:t>
      </w:r>
      <w:bookmarkEnd w:id="6"/>
      <w:bookmarkEnd w:id="7"/>
    </w:p>
    <w:p>
      <w:pPr>
        <w:pStyle w:val="5"/>
        <w:snapToGrid w:val="0"/>
        <w:spacing w:line="360" w:lineRule="auto"/>
        <w:ind w:firstLine="640" w:firstLineChars="20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根据室内装饰布局调整空调系统末端点位，满足各功能空间的需求，并满足国家标准及地方相关行业验收规范的要求。</w:t>
      </w:r>
    </w:p>
    <w:p>
      <w:pPr>
        <w:pStyle w:val="5"/>
        <w:snapToGrid w:val="0"/>
        <w:spacing w:line="360" w:lineRule="auto"/>
        <w:ind w:firstLine="640" w:firstLineChars="200"/>
        <w:contextualSpacing/>
        <w:rPr>
          <w:rFonts w:ascii="楷体_GB2312" w:hAnsi="黑体" w:eastAsia="楷体_GB2312"/>
          <w:b w:val="0"/>
          <w:bCs w:val="0"/>
          <w:sz w:val="32"/>
          <w:szCs w:val="32"/>
        </w:rPr>
      </w:pPr>
      <w:r>
        <w:rPr>
          <w:rFonts w:hint="eastAsia" w:ascii="楷体_GB2312" w:hAnsi="黑体" w:eastAsia="楷体_GB2312"/>
          <w:b w:val="0"/>
          <w:bCs w:val="0"/>
          <w:sz w:val="32"/>
          <w:szCs w:val="32"/>
        </w:rPr>
        <w:t xml:space="preserve">4.室外设计参数 </w:t>
      </w:r>
    </w:p>
    <w:p>
      <w:pPr>
        <w:pStyle w:val="5"/>
        <w:snapToGrid w:val="0"/>
        <w:spacing w:line="360" w:lineRule="auto"/>
        <w:ind w:firstLine="640" w:firstLineChars="200"/>
        <w:contextualSpacing/>
        <w:rPr>
          <w:rFonts w:ascii="仿宋_GB2312" w:hAnsi="黑体" w:eastAsia="仿宋_GB2312"/>
          <w:b w:val="0"/>
          <w:bCs w:val="0"/>
          <w:sz w:val="32"/>
          <w:szCs w:val="32"/>
        </w:rPr>
      </w:pPr>
      <w:r>
        <w:rPr>
          <w:rFonts w:hint="eastAsia" w:ascii="仿宋_GB2312" w:hAnsi="黑体" w:eastAsia="仿宋_GB2312"/>
          <w:b w:val="0"/>
          <w:bCs w:val="0"/>
          <w:sz w:val="32"/>
          <w:szCs w:val="32"/>
        </w:rPr>
        <w:t>根据《民用建筑供暖通风与空气调节设计规范》（GB50736-2012）选取襄阳市气象参数。</w:t>
      </w: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66"/>
        <w:gridCol w:w="905"/>
        <w:gridCol w:w="3398"/>
        <w:gridCol w:w="9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166" w:type="dxa"/>
            <w:vAlign w:val="center"/>
          </w:tcPr>
          <w:p>
            <w:pPr>
              <w:pStyle w:val="5"/>
              <w:autoSpaceDE w:val="0"/>
              <w:autoSpaceDN w:val="0"/>
              <w:snapToGrid w:val="0"/>
              <w:ind w:left="10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夏季大气压(hPa)</w:t>
            </w:r>
          </w:p>
        </w:tc>
        <w:tc>
          <w:tcPr>
            <w:tcW w:w="905" w:type="dxa"/>
            <w:vAlign w:val="center"/>
          </w:tcPr>
          <w:p>
            <w:pPr>
              <w:pStyle w:val="5"/>
              <w:autoSpaceDE w:val="0"/>
              <w:autoSpaceDN w:val="0"/>
              <w:snapToGrid w:val="0"/>
              <w:ind w:left="109" w:right="-15"/>
              <w:rPr>
                <w:rFonts w:hint="eastAsia" w:ascii="仿宋_GB2312" w:hAnsi="仿宋_GB2312" w:eastAsia="仿宋_GB2312" w:cs="仿宋_GB2312"/>
                <w:b w:val="0"/>
                <w:bCs w:val="0"/>
                <w:sz w:val="22"/>
                <w:lang w:val="zh-CN" w:bidi="zh-CN"/>
              </w:rPr>
            </w:pPr>
          </w:p>
        </w:tc>
        <w:tc>
          <w:tcPr>
            <w:tcW w:w="3398" w:type="dxa"/>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冬季大气压(hPa)</w:t>
            </w:r>
          </w:p>
        </w:tc>
        <w:tc>
          <w:tcPr>
            <w:tcW w:w="900" w:type="dxa"/>
            <w:vAlign w:val="center"/>
          </w:tcPr>
          <w:p>
            <w:pPr>
              <w:pStyle w:val="5"/>
              <w:autoSpaceDE w:val="0"/>
              <w:autoSpaceDN w:val="0"/>
              <w:snapToGrid w:val="0"/>
              <w:ind w:left="104" w:right="-15"/>
              <w:rPr>
                <w:rFonts w:hint="eastAsia" w:ascii="仿宋_GB2312" w:hAnsi="仿宋_GB2312" w:eastAsia="仿宋_GB2312" w:cs="仿宋_GB2312"/>
                <w:b w:val="0"/>
                <w:bCs w:val="0"/>
                <w:sz w:val="28"/>
                <w:szCs w:val="28"/>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3166" w:type="dxa"/>
            <w:vAlign w:val="center"/>
          </w:tcPr>
          <w:p>
            <w:pPr>
              <w:pStyle w:val="5"/>
              <w:autoSpaceDE w:val="0"/>
              <w:autoSpaceDN w:val="0"/>
              <w:snapToGrid w:val="0"/>
              <w:ind w:left="10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夏季空调室外计算干球温度</w:t>
            </w:r>
          </w:p>
        </w:tc>
        <w:tc>
          <w:tcPr>
            <w:tcW w:w="905" w:type="dxa"/>
            <w:vAlign w:val="center"/>
          </w:tcPr>
          <w:p>
            <w:pPr>
              <w:pStyle w:val="5"/>
              <w:autoSpaceDE w:val="0"/>
              <w:autoSpaceDN w:val="0"/>
              <w:snapToGrid w:val="0"/>
              <w:ind w:left="109" w:right="-15"/>
              <w:rPr>
                <w:rFonts w:hint="eastAsia" w:ascii="仿宋_GB2312" w:hAnsi="仿宋_GB2312" w:eastAsia="仿宋_GB2312" w:cs="仿宋_GB2312"/>
                <w:b w:val="0"/>
                <w:bCs w:val="0"/>
                <w:sz w:val="22"/>
                <w:lang w:val="zh-CN" w:bidi="zh-CN"/>
              </w:rPr>
            </w:pPr>
          </w:p>
        </w:tc>
        <w:tc>
          <w:tcPr>
            <w:tcW w:w="3398" w:type="dxa"/>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冬季空气调节室外计算温度</w:t>
            </w:r>
          </w:p>
        </w:tc>
        <w:tc>
          <w:tcPr>
            <w:tcW w:w="900" w:type="dxa"/>
            <w:vAlign w:val="center"/>
          </w:tcPr>
          <w:p>
            <w:pPr>
              <w:pStyle w:val="5"/>
              <w:autoSpaceDE w:val="0"/>
              <w:autoSpaceDN w:val="0"/>
              <w:snapToGrid w:val="0"/>
              <w:ind w:left="104" w:right="-15"/>
              <w:rPr>
                <w:rFonts w:hint="eastAsia" w:ascii="仿宋_GB2312" w:hAnsi="仿宋_GB2312" w:eastAsia="仿宋_GB2312" w:cs="仿宋_GB2312"/>
                <w:b w:val="0"/>
                <w:bCs w:val="0"/>
                <w:sz w:val="28"/>
                <w:szCs w:val="28"/>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166" w:type="dxa"/>
            <w:vAlign w:val="center"/>
          </w:tcPr>
          <w:p>
            <w:pPr>
              <w:pStyle w:val="5"/>
              <w:autoSpaceDE w:val="0"/>
              <w:autoSpaceDN w:val="0"/>
              <w:snapToGrid w:val="0"/>
              <w:ind w:left="10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夏季空调室外计算湿球温度</w:t>
            </w:r>
          </w:p>
        </w:tc>
        <w:tc>
          <w:tcPr>
            <w:tcW w:w="905" w:type="dxa"/>
            <w:vAlign w:val="center"/>
          </w:tcPr>
          <w:p>
            <w:pPr>
              <w:pStyle w:val="5"/>
              <w:autoSpaceDE w:val="0"/>
              <w:autoSpaceDN w:val="0"/>
              <w:snapToGrid w:val="0"/>
              <w:ind w:left="109" w:right="-15"/>
              <w:rPr>
                <w:rFonts w:hint="eastAsia" w:ascii="仿宋_GB2312" w:hAnsi="仿宋_GB2312" w:eastAsia="仿宋_GB2312" w:cs="仿宋_GB2312"/>
                <w:b w:val="0"/>
                <w:bCs w:val="0"/>
                <w:sz w:val="22"/>
                <w:lang w:val="zh-CN" w:bidi="zh-CN"/>
              </w:rPr>
            </w:pPr>
          </w:p>
        </w:tc>
        <w:tc>
          <w:tcPr>
            <w:tcW w:w="3398" w:type="dxa"/>
            <w:vAlign w:val="center"/>
          </w:tcPr>
          <w:p>
            <w:pPr>
              <w:pStyle w:val="5"/>
              <w:autoSpaceDE w:val="0"/>
              <w:autoSpaceDN w:val="0"/>
              <w:snapToGrid w:val="0"/>
              <w:ind w:left="109" w:right="-1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pacing w:val="-2"/>
                <w:sz w:val="22"/>
                <w:lang w:val="zh-CN" w:bidi="zh-CN"/>
              </w:rPr>
              <w:t>冬季空气调节室外计算相对湿度</w:t>
            </w:r>
          </w:p>
        </w:tc>
        <w:tc>
          <w:tcPr>
            <w:tcW w:w="900" w:type="dxa"/>
            <w:vAlign w:val="center"/>
          </w:tcPr>
          <w:p>
            <w:pPr>
              <w:pStyle w:val="5"/>
              <w:autoSpaceDE w:val="0"/>
              <w:autoSpaceDN w:val="0"/>
              <w:snapToGrid w:val="0"/>
              <w:ind w:left="104"/>
              <w:rPr>
                <w:rFonts w:hint="eastAsia" w:ascii="仿宋_GB2312" w:hAnsi="仿宋_GB2312" w:eastAsia="仿宋_GB2312" w:cs="仿宋_GB2312"/>
                <w:b w:val="0"/>
                <w:bCs w:val="0"/>
                <w:sz w:val="28"/>
                <w:szCs w:val="28"/>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jc w:val="center"/>
        </w:trPr>
        <w:tc>
          <w:tcPr>
            <w:tcW w:w="3166" w:type="dxa"/>
            <w:tcBorders>
              <w:bottom w:val="single" w:color="000000" w:sz="6" w:space="0"/>
            </w:tcBorders>
            <w:vAlign w:val="center"/>
          </w:tcPr>
          <w:p>
            <w:pPr>
              <w:pStyle w:val="5"/>
              <w:autoSpaceDE w:val="0"/>
              <w:autoSpaceDN w:val="0"/>
              <w:snapToGrid w:val="0"/>
              <w:ind w:left="105" w:right="-1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pacing w:val="-2"/>
                <w:sz w:val="22"/>
                <w:lang w:val="zh-CN" w:bidi="zh-CN"/>
              </w:rPr>
              <w:t>夏季空调室外计算日平均温度</w:t>
            </w:r>
          </w:p>
        </w:tc>
        <w:tc>
          <w:tcPr>
            <w:tcW w:w="905" w:type="dxa"/>
            <w:tcBorders>
              <w:bottom w:val="single" w:color="000000" w:sz="6" w:space="0"/>
            </w:tcBorders>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p>
        </w:tc>
        <w:tc>
          <w:tcPr>
            <w:tcW w:w="3398" w:type="dxa"/>
            <w:tcBorders>
              <w:bottom w:val="single" w:color="000000" w:sz="6" w:space="0"/>
            </w:tcBorders>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冬季供暖室外计算温度</w:t>
            </w:r>
          </w:p>
        </w:tc>
        <w:tc>
          <w:tcPr>
            <w:tcW w:w="900" w:type="dxa"/>
            <w:tcBorders>
              <w:bottom w:val="single" w:color="000000" w:sz="6" w:space="0"/>
            </w:tcBorders>
            <w:vAlign w:val="center"/>
          </w:tcPr>
          <w:p>
            <w:pPr>
              <w:pStyle w:val="5"/>
              <w:autoSpaceDE w:val="0"/>
              <w:autoSpaceDN w:val="0"/>
              <w:snapToGrid w:val="0"/>
              <w:ind w:left="104" w:right="-15"/>
              <w:rPr>
                <w:rFonts w:hint="eastAsia" w:ascii="仿宋_GB2312" w:hAnsi="仿宋_GB2312" w:eastAsia="仿宋_GB2312" w:cs="仿宋_GB2312"/>
                <w:b w:val="0"/>
                <w:bCs w:val="0"/>
                <w:sz w:val="28"/>
                <w:szCs w:val="28"/>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jc w:val="center"/>
        </w:trPr>
        <w:tc>
          <w:tcPr>
            <w:tcW w:w="3166" w:type="dxa"/>
            <w:tcBorders>
              <w:top w:val="single" w:color="000000" w:sz="6" w:space="0"/>
            </w:tcBorders>
            <w:vAlign w:val="center"/>
          </w:tcPr>
          <w:p>
            <w:pPr>
              <w:pStyle w:val="5"/>
              <w:autoSpaceDE w:val="0"/>
              <w:autoSpaceDN w:val="0"/>
              <w:snapToGrid w:val="0"/>
              <w:ind w:left="10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夏季通风室外计算温度</w:t>
            </w:r>
          </w:p>
        </w:tc>
        <w:tc>
          <w:tcPr>
            <w:tcW w:w="905" w:type="dxa"/>
            <w:tcBorders>
              <w:top w:val="single" w:color="000000" w:sz="6" w:space="0"/>
            </w:tcBorders>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p>
        </w:tc>
        <w:tc>
          <w:tcPr>
            <w:tcW w:w="3398" w:type="dxa"/>
            <w:tcBorders>
              <w:top w:val="single" w:color="000000" w:sz="6" w:space="0"/>
            </w:tcBorders>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冬季通风室外计算温度</w:t>
            </w:r>
          </w:p>
        </w:tc>
        <w:tc>
          <w:tcPr>
            <w:tcW w:w="900" w:type="dxa"/>
            <w:tcBorders>
              <w:top w:val="single" w:color="000000" w:sz="6" w:space="0"/>
            </w:tcBorders>
            <w:vAlign w:val="center"/>
          </w:tcPr>
          <w:p>
            <w:pPr>
              <w:pStyle w:val="5"/>
              <w:autoSpaceDE w:val="0"/>
              <w:autoSpaceDN w:val="0"/>
              <w:snapToGrid w:val="0"/>
              <w:ind w:left="104"/>
              <w:rPr>
                <w:rFonts w:hint="eastAsia" w:ascii="仿宋_GB2312" w:hAnsi="仿宋_GB2312" w:eastAsia="仿宋_GB2312" w:cs="仿宋_GB2312"/>
                <w:b w:val="0"/>
                <w:bCs w:val="0"/>
                <w:sz w:val="28"/>
                <w:szCs w:val="28"/>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3166" w:type="dxa"/>
            <w:vAlign w:val="center"/>
          </w:tcPr>
          <w:p>
            <w:pPr>
              <w:pStyle w:val="5"/>
              <w:autoSpaceDE w:val="0"/>
              <w:autoSpaceDN w:val="0"/>
              <w:snapToGrid w:val="0"/>
              <w:ind w:left="10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夏季平均风速</w:t>
            </w:r>
          </w:p>
        </w:tc>
        <w:tc>
          <w:tcPr>
            <w:tcW w:w="905" w:type="dxa"/>
            <w:vAlign w:val="center"/>
          </w:tcPr>
          <w:p>
            <w:pPr>
              <w:pStyle w:val="5"/>
              <w:autoSpaceDE w:val="0"/>
              <w:autoSpaceDN w:val="0"/>
              <w:snapToGrid w:val="0"/>
              <w:ind w:left="109" w:right="-15"/>
              <w:rPr>
                <w:rFonts w:hint="eastAsia" w:ascii="仿宋_GB2312" w:hAnsi="仿宋_GB2312" w:eastAsia="仿宋_GB2312" w:cs="仿宋_GB2312"/>
                <w:b w:val="0"/>
                <w:bCs w:val="0"/>
                <w:sz w:val="22"/>
                <w:lang w:val="zh-CN" w:bidi="zh-CN"/>
              </w:rPr>
            </w:pPr>
          </w:p>
        </w:tc>
        <w:tc>
          <w:tcPr>
            <w:tcW w:w="3398" w:type="dxa"/>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冬季平均风速</w:t>
            </w:r>
          </w:p>
        </w:tc>
        <w:tc>
          <w:tcPr>
            <w:tcW w:w="900" w:type="dxa"/>
            <w:vAlign w:val="center"/>
          </w:tcPr>
          <w:p>
            <w:pPr>
              <w:pStyle w:val="5"/>
              <w:autoSpaceDE w:val="0"/>
              <w:autoSpaceDN w:val="0"/>
              <w:snapToGrid w:val="0"/>
              <w:ind w:left="104" w:right="-15"/>
              <w:rPr>
                <w:rFonts w:hint="eastAsia" w:ascii="仿宋_GB2312" w:hAnsi="仿宋_GB2312" w:eastAsia="仿宋_GB2312" w:cs="仿宋_GB2312"/>
                <w:b w:val="0"/>
                <w:bCs w:val="0"/>
                <w:sz w:val="28"/>
                <w:szCs w:val="28"/>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3166" w:type="dxa"/>
            <w:vAlign w:val="center"/>
          </w:tcPr>
          <w:p>
            <w:pPr>
              <w:pStyle w:val="5"/>
              <w:autoSpaceDE w:val="0"/>
              <w:autoSpaceDN w:val="0"/>
              <w:snapToGrid w:val="0"/>
              <w:ind w:left="10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夏季最多风向</w:t>
            </w:r>
          </w:p>
        </w:tc>
        <w:tc>
          <w:tcPr>
            <w:tcW w:w="905" w:type="dxa"/>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p>
        </w:tc>
        <w:tc>
          <w:tcPr>
            <w:tcW w:w="3398" w:type="dxa"/>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冬季最多风向</w:t>
            </w:r>
          </w:p>
        </w:tc>
        <w:tc>
          <w:tcPr>
            <w:tcW w:w="900" w:type="dxa"/>
            <w:vAlign w:val="center"/>
          </w:tcPr>
          <w:p>
            <w:pPr>
              <w:pStyle w:val="5"/>
              <w:autoSpaceDE w:val="0"/>
              <w:autoSpaceDN w:val="0"/>
              <w:snapToGrid w:val="0"/>
              <w:ind w:left="104"/>
              <w:rPr>
                <w:rFonts w:hint="eastAsia" w:ascii="仿宋_GB2312" w:hAnsi="仿宋_GB2312" w:eastAsia="仿宋_GB2312" w:cs="仿宋_GB2312"/>
                <w:b w:val="0"/>
                <w:bCs w:val="0"/>
                <w:sz w:val="28"/>
                <w:szCs w:val="28"/>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3166" w:type="dxa"/>
            <w:vAlign w:val="center"/>
          </w:tcPr>
          <w:p>
            <w:pPr>
              <w:pStyle w:val="5"/>
              <w:autoSpaceDE w:val="0"/>
              <w:autoSpaceDN w:val="0"/>
              <w:snapToGrid w:val="0"/>
              <w:ind w:left="105"/>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海拔高度</w:t>
            </w:r>
          </w:p>
        </w:tc>
        <w:tc>
          <w:tcPr>
            <w:tcW w:w="905" w:type="dxa"/>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p>
        </w:tc>
        <w:tc>
          <w:tcPr>
            <w:tcW w:w="3398" w:type="dxa"/>
            <w:vAlign w:val="center"/>
          </w:tcPr>
          <w:p>
            <w:pPr>
              <w:pStyle w:val="5"/>
              <w:autoSpaceDE w:val="0"/>
              <w:autoSpaceDN w:val="0"/>
              <w:snapToGrid w:val="0"/>
              <w:ind w:left="109"/>
              <w:rPr>
                <w:rFonts w:hint="eastAsia" w:ascii="仿宋_GB2312" w:hAnsi="仿宋_GB2312" w:eastAsia="仿宋_GB2312" w:cs="仿宋_GB2312"/>
                <w:b w:val="0"/>
                <w:bCs w:val="0"/>
                <w:sz w:val="22"/>
                <w:lang w:val="zh-CN" w:bidi="zh-CN"/>
              </w:rPr>
            </w:pPr>
            <w:r>
              <w:rPr>
                <w:rFonts w:hint="eastAsia" w:ascii="仿宋_GB2312" w:hAnsi="仿宋_GB2312" w:eastAsia="仿宋_GB2312" w:cs="仿宋_GB2312"/>
                <w:b w:val="0"/>
                <w:bCs w:val="0"/>
                <w:sz w:val="22"/>
                <w:lang w:val="zh-CN" w:bidi="zh-CN"/>
              </w:rPr>
              <w:t>最大冻土深度</w:t>
            </w:r>
          </w:p>
        </w:tc>
        <w:tc>
          <w:tcPr>
            <w:tcW w:w="900" w:type="dxa"/>
            <w:vAlign w:val="center"/>
          </w:tcPr>
          <w:p>
            <w:pPr>
              <w:pStyle w:val="5"/>
              <w:autoSpaceDE w:val="0"/>
              <w:autoSpaceDN w:val="0"/>
              <w:snapToGrid w:val="0"/>
              <w:ind w:left="104"/>
              <w:rPr>
                <w:rFonts w:hint="eastAsia" w:ascii="仿宋_GB2312" w:hAnsi="仿宋_GB2312" w:eastAsia="仿宋_GB2312" w:cs="仿宋_GB2312"/>
                <w:b w:val="0"/>
                <w:bCs w:val="0"/>
                <w:sz w:val="28"/>
                <w:szCs w:val="28"/>
                <w:lang w:val="zh-CN" w:bidi="zh-CN"/>
              </w:rPr>
            </w:pPr>
          </w:p>
        </w:tc>
      </w:tr>
    </w:tbl>
    <w:p>
      <w:pPr>
        <w:pStyle w:val="5"/>
        <w:snapToGrid w:val="0"/>
        <w:spacing w:line="360" w:lineRule="auto"/>
        <w:ind w:firstLine="560" w:firstLineChars="200"/>
        <w:rPr>
          <w:rFonts w:ascii="楷体_GB2312" w:hAnsi="Times New Roman" w:eastAsia="楷体_GB2312"/>
          <w:b w:val="0"/>
          <w:bCs w:val="0"/>
          <w:sz w:val="28"/>
          <w:szCs w:val="28"/>
        </w:rPr>
      </w:pPr>
    </w:p>
    <w:p>
      <w:pPr>
        <w:pStyle w:val="5"/>
        <w:snapToGrid w:val="0"/>
        <w:spacing w:line="360" w:lineRule="auto"/>
        <w:ind w:firstLine="560" w:firstLineChars="200"/>
        <w:rPr>
          <w:rFonts w:ascii="楷体_GB2312" w:hAnsi="Times New Roman" w:eastAsia="楷体_GB2312"/>
          <w:b w:val="0"/>
          <w:bCs w:val="0"/>
          <w:sz w:val="28"/>
          <w:szCs w:val="28"/>
        </w:rPr>
      </w:pPr>
      <w:r>
        <w:rPr>
          <w:rFonts w:hint="eastAsia" w:ascii="楷体_GB2312" w:hAnsi="Times New Roman" w:eastAsia="楷体_GB2312"/>
          <w:b w:val="0"/>
          <w:bCs w:val="0"/>
          <w:sz w:val="28"/>
          <w:szCs w:val="28"/>
        </w:rPr>
        <w:t xml:space="preserve">5.室内设计参考参数 </w:t>
      </w:r>
    </w:p>
    <w:tbl>
      <w:tblPr>
        <w:tblStyle w:val="3"/>
        <w:tblW w:w="8595" w:type="dxa"/>
        <w:tblInd w:w="4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1"/>
        <w:gridCol w:w="1216"/>
        <w:gridCol w:w="1223"/>
        <w:gridCol w:w="1221"/>
        <w:gridCol w:w="1218"/>
        <w:gridCol w:w="1252"/>
        <w:gridCol w:w="1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221" w:type="dxa"/>
            <w:vMerge w:val="restart"/>
            <w:vAlign w:val="center"/>
          </w:tcPr>
          <w:p>
            <w:pPr>
              <w:pStyle w:val="5"/>
              <w:snapToGrid w:val="0"/>
              <w:jc w:val="center"/>
              <w:rPr>
                <w:rFonts w:hint="eastAsia" w:ascii="仿宋_GB2312" w:hAnsi="仿宋_GB2312" w:eastAsia="仿宋_GB2312" w:cs="仿宋_GB2312"/>
                <w:b w:val="0"/>
                <w:bCs w:val="0"/>
                <w:sz w:val="22"/>
              </w:rPr>
            </w:pPr>
          </w:p>
          <w:p>
            <w:pPr>
              <w:pStyle w:val="5"/>
              <w:snapToGrid w:val="0"/>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房间名称</w:t>
            </w:r>
          </w:p>
        </w:tc>
        <w:tc>
          <w:tcPr>
            <w:tcW w:w="2439" w:type="dxa"/>
            <w:gridSpan w:val="2"/>
            <w:vAlign w:val="center"/>
          </w:tcPr>
          <w:p>
            <w:pPr>
              <w:pStyle w:val="5"/>
              <w:snapToGrid w:val="0"/>
              <w:ind w:left="738"/>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温度（℃）</w:t>
            </w:r>
          </w:p>
        </w:tc>
        <w:tc>
          <w:tcPr>
            <w:tcW w:w="2439" w:type="dxa"/>
            <w:gridSpan w:val="2"/>
            <w:vAlign w:val="center"/>
          </w:tcPr>
          <w:p>
            <w:pPr>
              <w:pStyle w:val="5"/>
              <w:snapToGrid w:val="0"/>
              <w:ind w:left="579"/>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相对湿度（%）</w:t>
            </w:r>
          </w:p>
        </w:tc>
        <w:tc>
          <w:tcPr>
            <w:tcW w:w="1252" w:type="dxa"/>
            <w:vMerge w:val="restart"/>
            <w:vAlign w:val="center"/>
          </w:tcPr>
          <w:p>
            <w:pPr>
              <w:pStyle w:val="5"/>
              <w:snapToGrid w:val="0"/>
              <w:ind w:left="142"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新风量</w:t>
            </w:r>
          </w:p>
          <w:p>
            <w:pPr>
              <w:pStyle w:val="5"/>
              <w:snapToGrid w:val="0"/>
              <w:ind w:left="154"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(m3/人.h）</w:t>
            </w:r>
          </w:p>
        </w:tc>
        <w:tc>
          <w:tcPr>
            <w:tcW w:w="1244" w:type="dxa"/>
            <w:vMerge w:val="restart"/>
            <w:vAlign w:val="center"/>
          </w:tcPr>
          <w:p>
            <w:pPr>
              <w:pStyle w:val="5"/>
              <w:snapToGrid w:val="0"/>
              <w:jc w:val="center"/>
              <w:rPr>
                <w:rFonts w:hint="eastAsia" w:ascii="仿宋_GB2312" w:hAnsi="仿宋_GB2312" w:eastAsia="仿宋_GB2312" w:cs="仿宋_GB2312"/>
                <w:b w:val="0"/>
                <w:bCs w:val="0"/>
                <w:sz w:val="22"/>
              </w:rPr>
            </w:pPr>
          </w:p>
          <w:p>
            <w:pPr>
              <w:pStyle w:val="5"/>
              <w:snapToGrid w:val="0"/>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噪音 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21" w:type="dxa"/>
            <w:vMerge w:val="continue"/>
            <w:tcBorders>
              <w:top w:val="nil"/>
            </w:tcBorders>
            <w:vAlign w:val="center"/>
          </w:tcPr>
          <w:p>
            <w:pPr>
              <w:pStyle w:val="5"/>
              <w:snapToGrid w:val="0"/>
              <w:jc w:val="center"/>
              <w:rPr>
                <w:rFonts w:hint="eastAsia" w:ascii="仿宋_GB2312" w:hAnsi="仿宋_GB2312" w:eastAsia="仿宋_GB2312" w:cs="仿宋_GB2312"/>
                <w:b w:val="0"/>
                <w:bCs w:val="0"/>
                <w:sz w:val="22"/>
              </w:rPr>
            </w:pPr>
          </w:p>
        </w:tc>
        <w:tc>
          <w:tcPr>
            <w:tcW w:w="1216" w:type="dxa"/>
            <w:vAlign w:val="center"/>
          </w:tcPr>
          <w:p>
            <w:pPr>
              <w:pStyle w:val="5"/>
              <w:snapToGrid w:val="0"/>
              <w:ind w:left="114"/>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夏季</w:t>
            </w:r>
          </w:p>
        </w:tc>
        <w:tc>
          <w:tcPr>
            <w:tcW w:w="1223" w:type="dxa"/>
            <w:vAlign w:val="center"/>
          </w:tcPr>
          <w:p>
            <w:pPr>
              <w:pStyle w:val="5"/>
              <w:snapToGrid w:val="0"/>
              <w:ind w:left="240" w:right="12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冬季</w:t>
            </w:r>
          </w:p>
        </w:tc>
        <w:tc>
          <w:tcPr>
            <w:tcW w:w="1221" w:type="dxa"/>
            <w:tcBorders>
              <w:right w:val="single" w:color="000000" w:sz="6" w:space="0"/>
            </w:tcBorders>
            <w:vAlign w:val="center"/>
          </w:tcPr>
          <w:p>
            <w:pPr>
              <w:pStyle w:val="5"/>
              <w:snapToGrid w:val="0"/>
              <w:ind w:right="34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夏季</w:t>
            </w:r>
          </w:p>
        </w:tc>
        <w:tc>
          <w:tcPr>
            <w:tcW w:w="1218" w:type="dxa"/>
            <w:tcBorders>
              <w:left w:val="single" w:color="000000" w:sz="6" w:space="0"/>
            </w:tcBorders>
            <w:vAlign w:val="center"/>
          </w:tcPr>
          <w:p>
            <w:pPr>
              <w:pStyle w:val="5"/>
              <w:snapToGrid w:val="0"/>
              <w:ind w:right="345"/>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冬季</w:t>
            </w:r>
          </w:p>
        </w:tc>
        <w:tc>
          <w:tcPr>
            <w:tcW w:w="1252" w:type="dxa"/>
            <w:vMerge w:val="continue"/>
            <w:tcBorders>
              <w:top w:val="nil"/>
            </w:tcBorders>
            <w:vAlign w:val="center"/>
          </w:tcPr>
          <w:p>
            <w:pPr>
              <w:pStyle w:val="5"/>
              <w:snapToGrid w:val="0"/>
              <w:jc w:val="center"/>
              <w:rPr>
                <w:rFonts w:hint="eastAsia" w:ascii="仿宋_GB2312" w:hAnsi="仿宋_GB2312" w:eastAsia="仿宋_GB2312" w:cs="仿宋_GB2312"/>
                <w:b w:val="0"/>
                <w:bCs w:val="0"/>
                <w:sz w:val="22"/>
              </w:rPr>
            </w:pPr>
          </w:p>
        </w:tc>
        <w:tc>
          <w:tcPr>
            <w:tcW w:w="1244" w:type="dxa"/>
            <w:vMerge w:val="continue"/>
            <w:tcBorders>
              <w:top w:val="nil"/>
            </w:tcBorders>
            <w:vAlign w:val="center"/>
          </w:tcPr>
          <w:p>
            <w:pPr>
              <w:pStyle w:val="5"/>
              <w:snapToGrid w:val="0"/>
              <w:jc w:val="center"/>
              <w:rPr>
                <w:rFonts w:hint="eastAsia" w:ascii="仿宋_GB2312" w:hAnsi="仿宋_GB2312" w:eastAsia="仿宋_GB2312" w:cs="仿宋_GB2312"/>
                <w:b w:val="0"/>
                <w:bCs w:val="0"/>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21" w:type="dxa"/>
            <w:vAlign w:val="center"/>
          </w:tcPr>
          <w:p>
            <w:pPr>
              <w:pStyle w:val="5"/>
              <w:snapToGrid w:val="0"/>
              <w:ind w:right="120"/>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大厅</w:t>
            </w:r>
          </w:p>
        </w:tc>
        <w:tc>
          <w:tcPr>
            <w:tcW w:w="1216"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28</w:t>
            </w:r>
          </w:p>
        </w:tc>
        <w:tc>
          <w:tcPr>
            <w:tcW w:w="1223"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16</w:t>
            </w:r>
          </w:p>
        </w:tc>
        <w:tc>
          <w:tcPr>
            <w:tcW w:w="1221" w:type="dxa"/>
            <w:tcBorders>
              <w:right w:val="single" w:color="000000" w:sz="6" w:space="0"/>
            </w:tcBorders>
            <w:vAlign w:val="center"/>
          </w:tcPr>
          <w:p>
            <w:pPr>
              <w:pStyle w:val="5"/>
              <w:snapToGrid w:val="0"/>
              <w:ind w:left="461" w:right="34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60</w:t>
            </w:r>
          </w:p>
        </w:tc>
        <w:tc>
          <w:tcPr>
            <w:tcW w:w="1218" w:type="dxa"/>
            <w:tcBorders>
              <w:left w:val="single" w:color="000000" w:sz="6" w:space="0"/>
            </w:tcBorders>
            <w:vAlign w:val="center"/>
          </w:tcPr>
          <w:p>
            <w:pPr>
              <w:pStyle w:val="5"/>
              <w:snapToGrid w:val="0"/>
              <w:ind w:right="41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35</w:t>
            </w:r>
          </w:p>
        </w:tc>
        <w:tc>
          <w:tcPr>
            <w:tcW w:w="1252" w:type="dxa"/>
            <w:vAlign w:val="center"/>
          </w:tcPr>
          <w:p>
            <w:pPr>
              <w:pStyle w:val="5"/>
              <w:snapToGrid w:val="0"/>
              <w:ind w:left="147"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30</w:t>
            </w:r>
          </w:p>
        </w:tc>
        <w:tc>
          <w:tcPr>
            <w:tcW w:w="1244" w:type="dxa"/>
            <w:vAlign w:val="center"/>
          </w:tcPr>
          <w:p>
            <w:pPr>
              <w:pStyle w:val="5"/>
              <w:snapToGrid w:val="0"/>
              <w:ind w:right="42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21" w:type="dxa"/>
            <w:vAlign w:val="center"/>
          </w:tcPr>
          <w:p>
            <w:pPr>
              <w:pStyle w:val="5"/>
              <w:snapToGrid w:val="0"/>
              <w:ind w:right="120"/>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办公室</w:t>
            </w:r>
          </w:p>
        </w:tc>
        <w:tc>
          <w:tcPr>
            <w:tcW w:w="1216"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26</w:t>
            </w:r>
          </w:p>
        </w:tc>
        <w:tc>
          <w:tcPr>
            <w:tcW w:w="1223"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20</w:t>
            </w:r>
          </w:p>
        </w:tc>
        <w:tc>
          <w:tcPr>
            <w:tcW w:w="1221" w:type="dxa"/>
            <w:tcBorders>
              <w:right w:val="single" w:color="000000" w:sz="6" w:space="0"/>
            </w:tcBorders>
            <w:vAlign w:val="center"/>
          </w:tcPr>
          <w:p>
            <w:pPr>
              <w:pStyle w:val="5"/>
              <w:snapToGrid w:val="0"/>
              <w:ind w:left="461" w:right="34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65</w:t>
            </w:r>
          </w:p>
        </w:tc>
        <w:tc>
          <w:tcPr>
            <w:tcW w:w="1218" w:type="dxa"/>
            <w:tcBorders>
              <w:left w:val="single" w:color="000000" w:sz="6" w:space="0"/>
            </w:tcBorders>
            <w:vAlign w:val="center"/>
          </w:tcPr>
          <w:p>
            <w:pPr>
              <w:pStyle w:val="5"/>
              <w:snapToGrid w:val="0"/>
              <w:ind w:right="41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35</w:t>
            </w:r>
          </w:p>
        </w:tc>
        <w:tc>
          <w:tcPr>
            <w:tcW w:w="1252" w:type="dxa"/>
            <w:vAlign w:val="center"/>
          </w:tcPr>
          <w:p>
            <w:pPr>
              <w:pStyle w:val="5"/>
              <w:snapToGrid w:val="0"/>
              <w:ind w:left="147"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40</w:t>
            </w:r>
          </w:p>
        </w:tc>
        <w:tc>
          <w:tcPr>
            <w:tcW w:w="1244" w:type="dxa"/>
            <w:vAlign w:val="center"/>
          </w:tcPr>
          <w:p>
            <w:pPr>
              <w:pStyle w:val="5"/>
              <w:snapToGrid w:val="0"/>
              <w:ind w:right="42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21" w:type="dxa"/>
            <w:vAlign w:val="center"/>
          </w:tcPr>
          <w:p>
            <w:pPr>
              <w:pStyle w:val="5"/>
              <w:snapToGrid w:val="0"/>
              <w:ind w:right="1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会议室</w:t>
            </w:r>
          </w:p>
        </w:tc>
        <w:tc>
          <w:tcPr>
            <w:tcW w:w="1216"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26</w:t>
            </w:r>
          </w:p>
        </w:tc>
        <w:tc>
          <w:tcPr>
            <w:tcW w:w="1223"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20</w:t>
            </w:r>
          </w:p>
        </w:tc>
        <w:tc>
          <w:tcPr>
            <w:tcW w:w="1221" w:type="dxa"/>
            <w:tcBorders>
              <w:right w:val="single" w:color="000000" w:sz="6" w:space="0"/>
            </w:tcBorders>
            <w:vAlign w:val="center"/>
          </w:tcPr>
          <w:p>
            <w:pPr>
              <w:pStyle w:val="5"/>
              <w:snapToGrid w:val="0"/>
              <w:ind w:left="461" w:right="34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65</w:t>
            </w:r>
          </w:p>
        </w:tc>
        <w:tc>
          <w:tcPr>
            <w:tcW w:w="1218" w:type="dxa"/>
            <w:tcBorders>
              <w:left w:val="single" w:color="000000" w:sz="6" w:space="0"/>
            </w:tcBorders>
            <w:vAlign w:val="center"/>
          </w:tcPr>
          <w:p>
            <w:pPr>
              <w:pStyle w:val="5"/>
              <w:snapToGrid w:val="0"/>
              <w:ind w:right="41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40</w:t>
            </w:r>
          </w:p>
        </w:tc>
        <w:tc>
          <w:tcPr>
            <w:tcW w:w="1252" w:type="dxa"/>
            <w:vAlign w:val="center"/>
          </w:tcPr>
          <w:p>
            <w:pPr>
              <w:pStyle w:val="5"/>
              <w:snapToGrid w:val="0"/>
              <w:ind w:left="147"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20</w:t>
            </w:r>
          </w:p>
        </w:tc>
        <w:tc>
          <w:tcPr>
            <w:tcW w:w="1244" w:type="dxa"/>
            <w:vAlign w:val="center"/>
          </w:tcPr>
          <w:p>
            <w:pPr>
              <w:pStyle w:val="5"/>
              <w:snapToGrid w:val="0"/>
              <w:ind w:right="42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21" w:type="dxa"/>
            <w:vAlign w:val="center"/>
          </w:tcPr>
          <w:p>
            <w:pPr>
              <w:pStyle w:val="5"/>
              <w:widowControl/>
              <w:snapToGrid w:val="0"/>
              <w:jc w:val="center"/>
              <w:textAlignment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kern w:val="0"/>
                <w:sz w:val="22"/>
              </w:rPr>
              <w:t>展厅</w:t>
            </w:r>
          </w:p>
        </w:tc>
        <w:tc>
          <w:tcPr>
            <w:tcW w:w="1216"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28</w:t>
            </w:r>
          </w:p>
        </w:tc>
        <w:tc>
          <w:tcPr>
            <w:tcW w:w="1223"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16</w:t>
            </w:r>
          </w:p>
        </w:tc>
        <w:tc>
          <w:tcPr>
            <w:tcW w:w="1221" w:type="dxa"/>
            <w:tcBorders>
              <w:right w:val="single" w:color="000000" w:sz="6" w:space="0"/>
            </w:tcBorders>
            <w:vAlign w:val="center"/>
          </w:tcPr>
          <w:p>
            <w:pPr>
              <w:pStyle w:val="5"/>
              <w:snapToGrid w:val="0"/>
              <w:ind w:left="461" w:right="34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60</w:t>
            </w:r>
          </w:p>
        </w:tc>
        <w:tc>
          <w:tcPr>
            <w:tcW w:w="1218" w:type="dxa"/>
            <w:tcBorders>
              <w:left w:val="single" w:color="000000" w:sz="6" w:space="0"/>
            </w:tcBorders>
            <w:vAlign w:val="center"/>
          </w:tcPr>
          <w:p>
            <w:pPr>
              <w:pStyle w:val="5"/>
              <w:snapToGrid w:val="0"/>
              <w:ind w:right="41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35</w:t>
            </w:r>
          </w:p>
        </w:tc>
        <w:tc>
          <w:tcPr>
            <w:tcW w:w="1252" w:type="dxa"/>
            <w:vAlign w:val="center"/>
          </w:tcPr>
          <w:p>
            <w:pPr>
              <w:pStyle w:val="5"/>
              <w:snapToGrid w:val="0"/>
              <w:ind w:left="147"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30</w:t>
            </w:r>
          </w:p>
        </w:tc>
        <w:tc>
          <w:tcPr>
            <w:tcW w:w="1244" w:type="dxa"/>
            <w:vAlign w:val="center"/>
          </w:tcPr>
          <w:p>
            <w:pPr>
              <w:pStyle w:val="5"/>
              <w:snapToGrid w:val="0"/>
              <w:ind w:right="42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21" w:type="dxa"/>
            <w:vAlign w:val="center"/>
          </w:tcPr>
          <w:p>
            <w:pPr>
              <w:pStyle w:val="5"/>
              <w:widowControl/>
              <w:snapToGrid w:val="0"/>
              <w:jc w:val="center"/>
              <w:textAlignment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kern w:val="0"/>
                <w:sz w:val="22"/>
              </w:rPr>
              <w:t>洽谈室</w:t>
            </w:r>
          </w:p>
        </w:tc>
        <w:tc>
          <w:tcPr>
            <w:tcW w:w="1216"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26</w:t>
            </w:r>
          </w:p>
        </w:tc>
        <w:tc>
          <w:tcPr>
            <w:tcW w:w="1223"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20</w:t>
            </w:r>
          </w:p>
        </w:tc>
        <w:tc>
          <w:tcPr>
            <w:tcW w:w="1221" w:type="dxa"/>
            <w:tcBorders>
              <w:right w:val="single" w:color="000000" w:sz="6" w:space="0"/>
            </w:tcBorders>
            <w:vAlign w:val="center"/>
          </w:tcPr>
          <w:p>
            <w:pPr>
              <w:pStyle w:val="5"/>
              <w:snapToGrid w:val="0"/>
              <w:ind w:left="461" w:right="34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65</w:t>
            </w:r>
          </w:p>
        </w:tc>
        <w:tc>
          <w:tcPr>
            <w:tcW w:w="1218" w:type="dxa"/>
            <w:tcBorders>
              <w:left w:val="single" w:color="000000" w:sz="6" w:space="0"/>
            </w:tcBorders>
            <w:vAlign w:val="center"/>
          </w:tcPr>
          <w:p>
            <w:pPr>
              <w:pStyle w:val="5"/>
              <w:snapToGrid w:val="0"/>
              <w:ind w:right="41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40</w:t>
            </w:r>
          </w:p>
        </w:tc>
        <w:tc>
          <w:tcPr>
            <w:tcW w:w="1252" w:type="dxa"/>
            <w:vAlign w:val="center"/>
          </w:tcPr>
          <w:p>
            <w:pPr>
              <w:pStyle w:val="5"/>
              <w:snapToGrid w:val="0"/>
              <w:ind w:left="147"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20</w:t>
            </w:r>
          </w:p>
        </w:tc>
        <w:tc>
          <w:tcPr>
            <w:tcW w:w="1244" w:type="dxa"/>
            <w:vAlign w:val="center"/>
          </w:tcPr>
          <w:p>
            <w:pPr>
              <w:pStyle w:val="5"/>
              <w:snapToGrid w:val="0"/>
              <w:ind w:right="42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221" w:type="dxa"/>
            <w:vAlign w:val="center"/>
          </w:tcPr>
          <w:p>
            <w:pPr>
              <w:pStyle w:val="5"/>
              <w:snapToGrid w:val="0"/>
              <w:ind w:right="1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kern w:val="0"/>
                <w:sz w:val="22"/>
              </w:rPr>
              <w:t>办公区域</w:t>
            </w:r>
          </w:p>
        </w:tc>
        <w:tc>
          <w:tcPr>
            <w:tcW w:w="1216"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26</w:t>
            </w:r>
          </w:p>
        </w:tc>
        <w:tc>
          <w:tcPr>
            <w:tcW w:w="1223" w:type="dxa"/>
            <w:vAlign w:val="center"/>
          </w:tcPr>
          <w:p>
            <w:pPr>
              <w:pStyle w:val="5"/>
              <w:snapToGrid w:val="0"/>
              <w:ind w:right="41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20</w:t>
            </w:r>
          </w:p>
        </w:tc>
        <w:tc>
          <w:tcPr>
            <w:tcW w:w="1221" w:type="dxa"/>
            <w:tcBorders>
              <w:right w:val="single" w:color="000000" w:sz="6" w:space="0"/>
            </w:tcBorders>
            <w:vAlign w:val="center"/>
          </w:tcPr>
          <w:p>
            <w:pPr>
              <w:pStyle w:val="5"/>
              <w:snapToGrid w:val="0"/>
              <w:ind w:left="461" w:right="342"/>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55</w:t>
            </w:r>
          </w:p>
        </w:tc>
        <w:tc>
          <w:tcPr>
            <w:tcW w:w="1218" w:type="dxa"/>
            <w:tcBorders>
              <w:left w:val="single" w:color="000000" w:sz="6" w:space="0"/>
            </w:tcBorders>
            <w:vAlign w:val="center"/>
          </w:tcPr>
          <w:p>
            <w:pPr>
              <w:pStyle w:val="5"/>
              <w:snapToGrid w:val="0"/>
              <w:ind w:right="41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40</w:t>
            </w:r>
          </w:p>
        </w:tc>
        <w:tc>
          <w:tcPr>
            <w:tcW w:w="1252" w:type="dxa"/>
            <w:vAlign w:val="center"/>
          </w:tcPr>
          <w:p>
            <w:pPr>
              <w:pStyle w:val="5"/>
              <w:snapToGrid w:val="0"/>
              <w:ind w:left="147" w:right="26"/>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40</w:t>
            </w:r>
          </w:p>
        </w:tc>
        <w:tc>
          <w:tcPr>
            <w:tcW w:w="1244" w:type="dxa"/>
            <w:vAlign w:val="center"/>
          </w:tcPr>
          <w:p>
            <w:pPr>
              <w:pStyle w:val="5"/>
              <w:snapToGrid w:val="0"/>
              <w:ind w:right="427"/>
              <w:jc w:val="center"/>
              <w:rPr>
                <w:rFonts w:hint="eastAsia" w:ascii="仿宋_GB2312" w:hAnsi="仿宋_GB2312" w:eastAsia="仿宋_GB2312" w:cs="仿宋_GB2312"/>
                <w:b w:val="0"/>
                <w:bCs w:val="0"/>
                <w:sz w:val="22"/>
              </w:rPr>
            </w:pPr>
            <w:r>
              <w:rPr>
                <w:rFonts w:hint="eastAsia" w:ascii="仿宋_GB2312" w:hAnsi="仿宋_GB2312" w:eastAsia="仿宋_GB2312" w:cs="仿宋_GB2312"/>
                <w:b w:val="0"/>
                <w:bCs w:val="0"/>
                <w:sz w:val="22"/>
              </w:rPr>
              <w:t>45</w:t>
            </w:r>
          </w:p>
        </w:tc>
      </w:tr>
    </w:tbl>
    <w:p>
      <w:pPr>
        <w:pStyle w:val="5"/>
        <w:keepNext/>
        <w:keepLines/>
        <w:tabs>
          <w:tab w:val="left" w:pos="312"/>
        </w:tabs>
        <w:snapToGrid w:val="0"/>
        <w:spacing w:line="360" w:lineRule="auto"/>
        <w:outlineLvl w:val="2"/>
        <w:rPr>
          <w:rFonts w:ascii="仿宋_GB2312" w:hAnsi="Times New Roman" w:eastAsia="仿宋_GB2312"/>
          <w:b w:val="0"/>
          <w:bCs w:val="0"/>
          <w:sz w:val="32"/>
          <w:szCs w:val="32"/>
        </w:rPr>
      </w:pPr>
      <w:bookmarkStart w:id="8" w:name="_Toc256000107"/>
      <w:bookmarkStart w:id="9" w:name="_Toc79682716"/>
    </w:p>
    <w:p>
      <w:pPr>
        <w:pStyle w:val="5"/>
        <w:keepNext/>
        <w:keepLines/>
        <w:tabs>
          <w:tab w:val="left" w:pos="312"/>
        </w:tabs>
        <w:snapToGrid w:val="0"/>
        <w:spacing w:line="360" w:lineRule="auto"/>
        <w:ind w:firstLine="640" w:firstLineChars="200"/>
        <w:outlineLvl w:val="2"/>
        <w:rPr>
          <w:rFonts w:ascii="仿宋_GB2312" w:hAnsi="Times New Roman" w:eastAsia="仿宋_GB2312"/>
          <w:b w:val="0"/>
          <w:bCs w:val="0"/>
          <w:sz w:val="32"/>
          <w:szCs w:val="32"/>
        </w:rPr>
      </w:pPr>
      <w:r>
        <w:rPr>
          <w:rFonts w:hint="eastAsia" w:ascii="仿宋_GB2312" w:hAnsi="Times New Roman" w:eastAsia="仿宋_GB2312"/>
          <w:b w:val="0"/>
          <w:bCs w:val="0"/>
          <w:sz w:val="32"/>
          <w:szCs w:val="32"/>
        </w:rPr>
        <w:t>6.照明电气</w:t>
      </w:r>
      <w:bookmarkEnd w:id="8"/>
      <w:bookmarkEnd w:id="9"/>
    </w:p>
    <w:p>
      <w:pPr>
        <w:pStyle w:val="5"/>
        <w:snapToGrid w:val="0"/>
        <w:spacing w:line="360" w:lineRule="auto"/>
        <w:ind w:firstLine="640" w:firstLineChars="200"/>
        <w:rPr>
          <w:rFonts w:ascii="仿宋_GB2312" w:hAnsi="Times New Roman" w:eastAsia="仿宋_GB2312"/>
          <w:b w:val="0"/>
          <w:bCs w:val="0"/>
          <w:sz w:val="32"/>
          <w:szCs w:val="32"/>
        </w:rPr>
      </w:pPr>
      <w:r>
        <w:rPr>
          <w:rFonts w:hint="eastAsia" w:ascii="仿宋_GB2312" w:hAnsi="Times New Roman" w:eastAsia="仿宋_GB2312"/>
          <w:b w:val="0"/>
          <w:bCs w:val="0"/>
          <w:sz w:val="32"/>
          <w:szCs w:val="32"/>
        </w:rPr>
        <w:t>（1）照明、开关插座等结合平面布置合理布局等；</w:t>
      </w:r>
    </w:p>
    <w:p>
      <w:pPr>
        <w:pStyle w:val="5"/>
        <w:snapToGrid w:val="0"/>
        <w:spacing w:line="360" w:lineRule="auto"/>
        <w:ind w:firstLine="640" w:firstLineChars="200"/>
        <w:rPr>
          <w:rFonts w:ascii="仿宋_GB2312" w:hAnsi="Times New Roman" w:eastAsia="仿宋_GB2312"/>
          <w:b w:val="0"/>
          <w:bCs w:val="0"/>
          <w:sz w:val="32"/>
          <w:szCs w:val="32"/>
        </w:rPr>
      </w:pPr>
      <w:r>
        <w:rPr>
          <w:rFonts w:hint="eastAsia" w:ascii="仿宋_GB2312" w:hAnsi="Times New Roman" w:eastAsia="仿宋_GB2312"/>
          <w:b w:val="0"/>
          <w:bCs w:val="0"/>
          <w:sz w:val="32"/>
          <w:szCs w:val="32"/>
        </w:rPr>
        <w:t>（2）主要材料：开关、插座、灯具、电线等；</w:t>
      </w:r>
    </w:p>
    <w:p>
      <w:pPr>
        <w:pStyle w:val="5"/>
        <w:snapToGrid w:val="0"/>
        <w:spacing w:line="360" w:lineRule="auto"/>
        <w:ind w:firstLine="640" w:firstLineChars="200"/>
        <w:rPr>
          <w:rFonts w:ascii="仿宋_GB2312" w:hAnsi="Times New Roman" w:eastAsia="仿宋_GB2312"/>
          <w:b w:val="0"/>
          <w:bCs w:val="0"/>
          <w:sz w:val="32"/>
          <w:szCs w:val="32"/>
        </w:rPr>
      </w:pPr>
      <w:r>
        <w:rPr>
          <w:rFonts w:hint="eastAsia" w:ascii="仿宋_GB2312" w:hAnsi="Times New Roman" w:eastAsia="仿宋_GB2312"/>
          <w:b w:val="0"/>
          <w:bCs w:val="0"/>
          <w:sz w:val="32"/>
          <w:szCs w:val="32"/>
        </w:rPr>
        <w:t>（3）需满足各区功能要求，使用方便、安全便捷及节能等。</w:t>
      </w:r>
    </w:p>
    <w:p>
      <w:pPr>
        <w:pStyle w:val="5"/>
        <w:snapToGrid w:val="0"/>
        <w:spacing w:line="360" w:lineRule="auto"/>
        <w:ind w:firstLine="640" w:firstLineChars="200"/>
        <w:rPr>
          <w:rFonts w:ascii="仿宋_GB2312" w:hAnsi="Times New Roman" w:eastAsia="仿宋_GB2312"/>
          <w:b w:val="0"/>
          <w:bCs w:val="0"/>
          <w:sz w:val="32"/>
          <w:szCs w:val="32"/>
        </w:rPr>
      </w:pPr>
      <w:r>
        <w:rPr>
          <w:rFonts w:hint="eastAsia" w:ascii="仿宋_GB2312" w:hAnsi="Times New Roman" w:eastAsia="仿宋_GB2312"/>
          <w:b w:val="0"/>
          <w:bCs w:val="0"/>
          <w:sz w:val="32"/>
          <w:szCs w:val="32"/>
        </w:rPr>
        <w:t>（4）会议、接待、办公等主要空间采用照明智能控制方式，根据各空间使用功能满足调光、场景选择等控制方式。</w:t>
      </w:r>
    </w:p>
    <w:p>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C040B8"/>
    <w:multiLevelType w:val="multilevel"/>
    <w:tmpl w:val="6DC040B8"/>
    <w:lvl w:ilvl="0" w:tentative="0">
      <w:start w:val="3"/>
      <w:numFmt w:val="japaneseCounting"/>
      <w:lvlText w:val="%1、"/>
      <w:lvlJc w:val="left"/>
      <w:pPr>
        <w:ind w:left="1360" w:hanging="720"/>
      </w:pPr>
      <w:rPr>
        <w:rFonts w:hint="default" w:cs="宋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hZDljYjllMTIzZDEzNjlmNzY5OTM3ODk4ODEwYTAifQ=="/>
  </w:docVars>
  <w:rsids>
    <w:rsidRoot w:val="00000000"/>
    <w:rsid w:val="159D43A2"/>
    <w:rsid w:val="4DA05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paragraph" w:customStyle="1" w:styleId="5">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3074</Words>
  <Characters>3456</Characters>
  <Lines>0</Lines>
  <Paragraphs>0</Paragraphs>
  <TotalTime>0</TotalTime>
  <ScaleCrop>false</ScaleCrop>
  <LinksUpToDate>false</LinksUpToDate>
  <CharactersWithSpaces>3530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2023-05-04T09:17:00Z</dcterms:created>
  <dc:creator>jushuting</dc:creator>
  <cp:lastModifiedBy>Molly</cp:lastModifiedBy>
  <dcterms:modified xsi:type="dcterms:W3CDTF">2023-05-04T09:20:41Z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0A15CD06ACB84504A3EE8AFF76B10B77_12</vt:lpwstr>
  </property>
</Properties>
</file>