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宋体" w:hAnsi="宋体" w:cs="宋体"/>
          <w:b/>
          <w:bCs/>
          <w:kern w:val="0"/>
          <w:sz w:val="32"/>
          <w:szCs w:val="32"/>
          <w:shd w:val="clear" w:color="auto" w:fill="FFFFFF"/>
        </w:rPr>
      </w:pPr>
      <w:bookmarkStart w:id="0" w:name="_GoBack"/>
      <w:r>
        <w:rPr>
          <w:rFonts w:hint="eastAsia" w:ascii="宋体" w:hAnsi="宋体" w:cs="宋体"/>
          <w:b/>
          <w:bCs/>
          <w:kern w:val="0"/>
          <w:sz w:val="32"/>
          <w:szCs w:val="32"/>
          <w:shd w:val="clear" w:color="auto" w:fill="FFFFFF"/>
        </w:rPr>
        <w:t>报名登记表（格式）</w:t>
      </w:r>
    </w:p>
    <w:bookmarkEnd w:id="0"/>
    <w:p>
      <w:pPr>
        <w:spacing w:line="360" w:lineRule="auto"/>
        <w:ind w:firstLine="321" w:firstLineChars="100"/>
        <w:jc w:val="center"/>
        <w:rPr>
          <w:rFonts w:ascii="宋体" w:hAnsi="宋体" w:cs="宋体"/>
          <w:b/>
          <w:bCs/>
          <w:kern w:val="0"/>
          <w:sz w:val="32"/>
          <w:szCs w:val="32"/>
          <w:shd w:val="clear" w:color="auto" w:fill="FFFFFF"/>
        </w:rPr>
      </w:pPr>
    </w:p>
    <w:tbl>
      <w:tblPr>
        <w:tblStyle w:val="6"/>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rPr>
              <w:t>襄阳四中2022年</w:t>
            </w:r>
            <w:r>
              <w:rPr>
                <w:rFonts w:hint="eastAsia" w:cs="宋体" w:asciiTheme="minorEastAsia" w:hAnsiTheme="minorEastAsia" w:eastAsiaTheme="minorEastAsia"/>
                <w:kern w:val="0"/>
                <w:sz w:val="28"/>
                <w:szCs w:val="28"/>
                <w:lang w:eastAsia="zh-CN"/>
              </w:rPr>
              <w:t>通用技术试验室设备采购</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项目襄采计备[2022]</w:t>
            </w:r>
            <w:r>
              <w:rPr>
                <w:rFonts w:hint="eastAsia" w:cs="宋体" w:asciiTheme="minorEastAsia" w:hAnsiTheme="minorEastAsia" w:eastAsiaTheme="minorEastAsia"/>
                <w:kern w:val="0"/>
                <w:sz w:val="28"/>
                <w:szCs w:val="28"/>
                <w:lang w:val="en-US" w:eastAsia="zh-CN"/>
              </w:rPr>
              <w:t>002305</w:t>
            </w:r>
            <w:r>
              <w:rPr>
                <w:rFonts w:hint="eastAsia" w:cs="宋体" w:asciiTheme="minorEastAsia" w:hAnsiTheme="minorEastAsia" w:eastAsiaTheme="minorEastAsia"/>
                <w:kern w:val="0"/>
                <w:sz w:val="28"/>
                <w:szCs w:val="28"/>
              </w:rPr>
              <w:t>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w:t>
            </w:r>
          </w:p>
        </w:tc>
      </w:tr>
    </w:tbl>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autoSpaceDE w:val="0"/>
        <w:autoSpaceDN w:val="0"/>
        <w:spacing w:before="120" w:beforeLines="50" w:after="24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pPr>
        <w:spacing w:line="600" w:lineRule="exact"/>
        <w:ind w:firstLine="560" w:firstLineChars="200"/>
        <w:jc w:val="both"/>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我单位现参与</w:t>
      </w:r>
      <w:r>
        <w:rPr>
          <w:rFonts w:hint="eastAsia" w:cs="宋体" w:asciiTheme="minorEastAsia" w:hAnsiTheme="minorEastAsia" w:eastAsiaTheme="minorEastAsia"/>
          <w:sz w:val="28"/>
          <w:szCs w:val="28"/>
          <w:u w:val="single"/>
        </w:rPr>
        <w:t>襄阳四中2022年</w:t>
      </w:r>
      <w:r>
        <w:rPr>
          <w:rFonts w:hint="eastAsia" w:cs="宋体" w:asciiTheme="minorEastAsia" w:hAnsiTheme="minorEastAsia" w:eastAsiaTheme="minorEastAsia"/>
          <w:sz w:val="28"/>
          <w:szCs w:val="28"/>
          <w:u w:val="single"/>
          <w:lang w:eastAsia="zh-CN"/>
        </w:rPr>
        <w:t>通用技术试验室设备采购</w:t>
      </w:r>
      <w:r>
        <w:rPr>
          <w:rFonts w:hint="eastAsia" w:cs="宋体" w:asciiTheme="minorEastAsia" w:hAnsiTheme="minorEastAsia" w:eastAsiaTheme="minorEastAsia"/>
          <w:sz w:val="28"/>
          <w:szCs w:val="28"/>
          <w:u w:val="single"/>
        </w:rPr>
        <w:t>项目（项目编号：襄采计备[2022]</w:t>
      </w:r>
      <w:r>
        <w:rPr>
          <w:rFonts w:hint="eastAsia" w:cs="宋体" w:asciiTheme="minorEastAsia" w:hAnsiTheme="minorEastAsia" w:eastAsiaTheme="minorEastAsia"/>
          <w:sz w:val="28"/>
          <w:szCs w:val="28"/>
          <w:u w:val="single"/>
          <w:lang w:val="en-US" w:eastAsia="zh-CN"/>
        </w:rPr>
        <w:t>002305号</w:t>
      </w:r>
      <w:r>
        <w:rPr>
          <w:rFonts w:hint="eastAsia" w:cs="宋体" w:asciiTheme="minorEastAsia" w:hAnsiTheme="minorEastAsia" w:eastAsiaTheme="minorEastAsia"/>
          <w:sz w:val="28"/>
          <w:szCs w:val="28"/>
          <w:u w:val="single"/>
        </w:rPr>
        <w:t>）</w:t>
      </w:r>
      <w:r>
        <w:rPr>
          <w:rFonts w:hint="eastAsia" w:cs="宋体" w:asciiTheme="minorEastAsia" w:hAnsiTheme="minorEastAsia" w:eastAsiaTheme="minorEastAsia"/>
          <w:sz w:val="28"/>
          <w:szCs w:val="28"/>
        </w:rPr>
        <w:t>，并作出如下声明：</w:t>
      </w:r>
    </w:p>
    <w:p>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360" w:lineRule="auto"/>
        <w:ind w:firstLine="601"/>
        <w:rPr>
          <w:rFonts w:cs="宋体" w:asciiTheme="minorEastAsia" w:hAnsiTheme="minorEastAsia" w:eastAsiaTheme="minorEastAsia"/>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pPr>
        <w:autoSpaceDE w:val="0"/>
        <w:autoSpaceDN w:val="0"/>
        <w:spacing w:line="420" w:lineRule="exact"/>
        <w:ind w:firstLine="1498" w:firstLineChars="535"/>
        <w:jc w:val="left"/>
        <w:rPr>
          <w:rFonts w:ascii="宋体" w:hAnsi="宋体" w:cs="宋体"/>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pPr>
        <w:autoSpaceDE w:val="0"/>
        <w:autoSpaceDN w:val="0"/>
        <w:spacing w:line="420" w:lineRule="exact"/>
        <w:ind w:firstLine="567"/>
        <w:jc w:val="left"/>
        <w:rPr>
          <w:rFonts w:ascii="宋体" w:hAnsi="宋体" w:cs="宋体"/>
          <w:sz w:val="28"/>
          <w:szCs w:val="28"/>
        </w:rPr>
      </w:pPr>
    </w:p>
    <w:p>
      <w:pPr>
        <w:autoSpaceDE w:val="0"/>
        <w:autoSpaceDN w:val="0"/>
        <w:spacing w:line="420" w:lineRule="exact"/>
        <w:ind w:firstLine="567"/>
        <w:jc w:val="left"/>
        <w:rPr>
          <w:rFonts w:ascii="宋体" w:hAnsi="宋体" w:cs="宋体"/>
          <w:sz w:val="28"/>
          <w:szCs w:val="28"/>
        </w:rPr>
        <w:sectPr>
          <w:headerReference r:id="rId5" w:type="first"/>
          <w:footerReference r:id="rId7" w:type="first"/>
          <w:headerReference r:id="rId3" w:type="default"/>
          <w:headerReference r:id="rId4" w:type="even"/>
          <w:footerReference r:id="rId6" w:type="even"/>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pPr>
        <w:autoSpaceDE w:val="0"/>
        <w:autoSpaceDN w:val="0"/>
        <w:spacing w:line="480" w:lineRule="exact"/>
        <w:ind w:firstLine="567"/>
        <w:jc w:val="left"/>
        <w:rPr>
          <w:rFonts w:ascii="宋体" w:hAnsi="宋体" w:cs="宋体"/>
          <w:kern w:val="0"/>
          <w:sz w:val="28"/>
          <w:szCs w:val="28"/>
        </w:rPr>
      </w:pP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pPr>
        <w:spacing w:line="600" w:lineRule="exact"/>
        <w:jc w:val="center"/>
        <w:rPr>
          <w:rFonts w:hint="eastAsia" w:ascii="黑体" w:eastAsia="黑体"/>
          <w:sz w:val="32"/>
          <w:szCs w:val="32"/>
          <w:lang w:val="en-US" w:eastAsia="zh-CN"/>
        </w:rPr>
      </w:pPr>
      <w:r>
        <w:rPr>
          <w:sz w:val="28"/>
          <w:szCs w:val="28"/>
        </w:rPr>
        <w:br w:type="page"/>
      </w:r>
      <w:r>
        <w:rPr>
          <w:rFonts w:hint="eastAsia" w:ascii="黑体" w:eastAsia="黑体"/>
          <w:sz w:val="32"/>
          <w:szCs w:val="32"/>
        </w:rPr>
        <w:t>襄阳四中2022年</w:t>
      </w:r>
      <w:r>
        <w:rPr>
          <w:rFonts w:hint="eastAsia" w:ascii="黑体" w:eastAsia="黑体"/>
          <w:sz w:val="32"/>
          <w:szCs w:val="32"/>
          <w:lang w:eastAsia="zh-CN"/>
        </w:rPr>
        <w:t>通用技术试验室设备采购</w:t>
      </w:r>
    </w:p>
    <w:p>
      <w:pPr>
        <w:widowControl/>
        <w:jc w:val="center"/>
        <w:rPr>
          <w:rFonts w:ascii="黑体" w:hAnsi="黑体" w:eastAsia="黑体"/>
          <w:sz w:val="28"/>
          <w:szCs w:val="28"/>
        </w:rPr>
      </w:pPr>
      <w:r>
        <w:rPr>
          <w:rFonts w:hint="eastAsia" w:ascii="黑体" w:eastAsia="黑体"/>
          <w:sz w:val="32"/>
          <w:szCs w:val="32"/>
        </w:rPr>
        <w:t>项目</w:t>
      </w:r>
      <w:r>
        <w:rPr>
          <w:rFonts w:hint="eastAsia" w:ascii="黑体" w:hAnsi="黑体" w:eastAsia="黑体"/>
          <w:sz w:val="32"/>
          <w:szCs w:val="32"/>
        </w:rPr>
        <w:t>询价</w:t>
      </w:r>
      <w:r>
        <w:rPr>
          <w:rFonts w:ascii="黑体" w:hAnsi="黑体" w:eastAsia="黑体" w:cs="宋体"/>
          <w:kern w:val="1"/>
          <w:sz w:val="32"/>
          <w:szCs w:val="32"/>
        </w:rPr>
        <w:t>单</w:t>
      </w:r>
    </w:p>
    <w:p>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6"/>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pPr>
              <w:jc w:val="center"/>
              <w:rPr>
                <w:rFonts w:ascii="宋体" w:hAnsi="宋体"/>
                <w:sz w:val="24"/>
              </w:rPr>
            </w:pPr>
            <w:r>
              <w:rPr>
                <w:rFonts w:hint="eastAsia" w:ascii="宋体" w:hAnsi="宋体"/>
                <w:sz w:val="24"/>
              </w:rPr>
              <w:t>单位名称</w:t>
            </w:r>
          </w:p>
        </w:tc>
        <w:tc>
          <w:tcPr>
            <w:tcW w:w="2918" w:type="dxa"/>
            <w:vAlign w:val="center"/>
          </w:tcPr>
          <w:p>
            <w:pPr>
              <w:jc w:val="center"/>
              <w:rPr>
                <w:rFonts w:ascii="宋体" w:hAnsi="宋体"/>
                <w:sz w:val="24"/>
              </w:rPr>
            </w:pPr>
            <w:r>
              <w:rPr>
                <w:rFonts w:hint="eastAsia" w:ascii="宋体" w:hAnsi="宋体"/>
                <w:sz w:val="24"/>
              </w:rPr>
              <w:t>襄阳四中</w:t>
            </w:r>
          </w:p>
        </w:tc>
        <w:tc>
          <w:tcPr>
            <w:tcW w:w="1278" w:type="dxa"/>
            <w:vAlign w:val="center"/>
          </w:tcPr>
          <w:p>
            <w:pPr>
              <w:jc w:val="center"/>
              <w:rPr>
                <w:rFonts w:ascii="宋体" w:hAnsi="宋体"/>
                <w:sz w:val="24"/>
              </w:rPr>
            </w:pPr>
            <w:r>
              <w:rPr>
                <w:rFonts w:ascii="宋体" w:hAnsi="宋体"/>
                <w:sz w:val="24"/>
              </w:rPr>
              <w:t>供货地点</w:t>
            </w:r>
          </w:p>
        </w:tc>
        <w:tc>
          <w:tcPr>
            <w:tcW w:w="2559" w:type="dxa"/>
            <w:vAlign w:val="center"/>
          </w:tcPr>
          <w:p>
            <w:pPr>
              <w:jc w:val="center"/>
              <w:rPr>
                <w:rFonts w:ascii="宋体" w:hAnsi="宋体"/>
                <w:sz w:val="24"/>
              </w:rPr>
            </w:pPr>
            <w:r>
              <w:rPr>
                <w:rFonts w:hint="eastAsia" w:ascii="宋体" w:hAnsi="宋体"/>
                <w:sz w:val="24"/>
              </w:rPr>
              <w:t>襄阳四中</w:t>
            </w:r>
          </w:p>
          <w:p>
            <w:pPr>
              <w:jc w:val="center"/>
              <w:rPr>
                <w:rFonts w:ascii="宋体" w:hAnsi="宋体"/>
                <w:sz w:val="18"/>
                <w:szCs w:val="18"/>
              </w:rPr>
            </w:pPr>
            <w:r>
              <w:rPr>
                <w:rFonts w:hint="eastAsia" w:ascii="宋体" w:hAnsi="宋体"/>
                <w:sz w:val="18"/>
                <w:szCs w:val="18"/>
              </w:rPr>
              <w:t>（襄城区环城南路388号）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pPr>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政府采购计划</w:t>
            </w:r>
          </w:p>
          <w:p>
            <w:pPr>
              <w:jc w:val="center"/>
              <w:rPr>
                <w:rFonts w:ascii="宋体" w:hAnsi="宋体"/>
                <w:sz w:val="24"/>
              </w:rPr>
            </w:pPr>
            <w:r>
              <w:rPr>
                <w:rFonts w:hint="eastAsia" w:ascii="宋体" w:hAnsi="宋体"/>
                <w:sz w:val="24"/>
              </w:rPr>
              <w:t>备案号</w:t>
            </w:r>
          </w:p>
        </w:tc>
        <w:tc>
          <w:tcPr>
            <w:tcW w:w="2918" w:type="dxa"/>
            <w:vAlign w:val="center"/>
          </w:tcPr>
          <w:p>
            <w:pPr>
              <w:jc w:val="center"/>
              <w:rPr>
                <w:rFonts w:ascii="宋体" w:hAnsi="宋体"/>
                <w:sz w:val="24"/>
              </w:rPr>
            </w:pPr>
            <w:r>
              <w:rPr>
                <w:rFonts w:hint="eastAsia" w:cs="Courier New" w:asciiTheme="minorEastAsia" w:hAnsiTheme="minorEastAsia" w:eastAsiaTheme="minorEastAsia"/>
                <w:sz w:val="24"/>
              </w:rPr>
              <w:t>襄采计备</w:t>
            </w:r>
            <w:r>
              <w:rPr>
                <w:rFonts w:hint="eastAsia" w:asciiTheme="minorEastAsia" w:hAnsiTheme="minorEastAsia" w:eastAsiaTheme="minorEastAsia"/>
                <w:sz w:val="24"/>
              </w:rPr>
              <w:t>[2022]</w:t>
            </w:r>
            <w:r>
              <w:rPr>
                <w:rFonts w:hint="eastAsia" w:asciiTheme="minorEastAsia" w:hAnsiTheme="minorEastAsia" w:eastAsiaTheme="minorEastAsia"/>
                <w:sz w:val="24"/>
                <w:lang w:val="en-US" w:eastAsia="zh-CN"/>
              </w:rPr>
              <w:t>002305</w:t>
            </w:r>
            <w:r>
              <w:rPr>
                <w:rFonts w:hint="eastAsia" w:asciiTheme="minorEastAsia" w:hAnsiTheme="minorEastAsia" w:eastAsiaTheme="minorEastAsia"/>
                <w:sz w:val="24"/>
              </w:rPr>
              <w:t>号</w:t>
            </w:r>
          </w:p>
        </w:tc>
        <w:tc>
          <w:tcPr>
            <w:tcW w:w="1278" w:type="dxa"/>
            <w:vAlign w:val="center"/>
          </w:tcPr>
          <w:p>
            <w:pPr>
              <w:jc w:val="center"/>
              <w:rPr>
                <w:rFonts w:ascii="宋体" w:hAnsi="宋体"/>
                <w:sz w:val="24"/>
              </w:rPr>
            </w:pPr>
            <w:r>
              <w:rPr>
                <w:rFonts w:ascii="宋体" w:hAnsi="宋体"/>
                <w:sz w:val="24"/>
              </w:rPr>
              <w:t>联系</w:t>
            </w:r>
            <w:r>
              <w:rPr>
                <w:rFonts w:hint="eastAsia" w:ascii="宋体" w:hAnsi="宋体"/>
                <w:sz w:val="24"/>
              </w:rPr>
              <w:t>人及</w:t>
            </w:r>
          </w:p>
          <w:p>
            <w:pPr>
              <w:jc w:val="center"/>
              <w:rPr>
                <w:rFonts w:ascii="宋体" w:hAnsi="宋体"/>
                <w:sz w:val="24"/>
              </w:rPr>
            </w:pPr>
            <w:r>
              <w:rPr>
                <w:rFonts w:ascii="宋体" w:hAnsi="宋体"/>
                <w:sz w:val="24"/>
              </w:rPr>
              <w:t>电话</w:t>
            </w:r>
          </w:p>
        </w:tc>
        <w:tc>
          <w:tcPr>
            <w:tcW w:w="2559" w:type="dxa"/>
            <w:vAlign w:val="center"/>
          </w:tcPr>
          <w:p>
            <w:pPr>
              <w:jc w:val="center"/>
              <w:rPr>
                <w:rFonts w:hint="default" w:ascii="宋体" w:hAnsi="宋体" w:eastAsia="宋体"/>
                <w:sz w:val="24"/>
                <w:lang w:val="en-US" w:eastAsia="zh-CN"/>
              </w:rPr>
            </w:pPr>
            <w:r>
              <w:rPr>
                <w:rFonts w:hint="eastAsia" w:ascii="宋体" w:hAnsi="宋体"/>
                <w:sz w:val="24"/>
                <w:lang w:eastAsia="zh-CN"/>
              </w:rPr>
              <w:t>何</w:t>
            </w:r>
            <w:r>
              <w:rPr>
                <w:rFonts w:hint="eastAsia" w:ascii="宋体" w:hAnsi="宋体"/>
                <w:sz w:val="24"/>
              </w:rPr>
              <w:t>老师</w:t>
            </w:r>
            <w:r>
              <w:rPr>
                <w:rFonts w:hint="eastAsia" w:ascii="宋体" w:hAnsi="宋体"/>
                <w:sz w:val="24"/>
                <w:lang w:val="en-US" w:eastAsia="zh-CN"/>
              </w:rPr>
              <w:t>18972093878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pPr>
              <w:jc w:val="center"/>
              <w:rPr>
                <w:rFonts w:ascii="宋体" w:hAnsi="宋体"/>
                <w:sz w:val="24"/>
              </w:rPr>
            </w:pPr>
          </w:p>
        </w:tc>
        <w:tc>
          <w:tcPr>
            <w:tcW w:w="2211" w:type="dxa"/>
            <w:vAlign w:val="center"/>
          </w:tcPr>
          <w:p>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pPr>
              <w:spacing w:line="500" w:lineRule="exact"/>
              <w:ind w:firstLine="480" w:firstLineChars="200"/>
              <w:jc w:val="left"/>
              <w:rPr>
                <w:rFonts w:asciiTheme="minorEastAsia" w:hAnsiTheme="minorEastAsia" w:eastAsiaTheme="minorEastAsia"/>
                <w:sz w:val="24"/>
              </w:rPr>
            </w:pPr>
            <w:r>
              <w:rPr>
                <w:rFonts w:hint="eastAsia" w:ascii="宋体" w:hAnsi="宋体"/>
                <w:kern w:val="0"/>
                <w:sz w:val="24"/>
                <w:lang w:val="en-US" w:eastAsia="zh-CN"/>
              </w:rPr>
              <w:t>桌面级3D打印机（2台）、全金属微型弓臂锯床（1台）、全金属微型台式磨床（1台）、全金属微型木工车床（1台）、全金属微型摇臂钻床（1台）</w:t>
            </w:r>
            <w:r>
              <w:rPr>
                <w:rFonts w:hint="eastAsia" w:ascii="宋体" w:hAnsi="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pPr>
              <w:jc w:val="center"/>
              <w:rPr>
                <w:rFonts w:ascii="宋体" w:hAnsi="宋体"/>
                <w:sz w:val="24"/>
              </w:rPr>
            </w:pPr>
          </w:p>
        </w:tc>
        <w:tc>
          <w:tcPr>
            <w:tcW w:w="2211" w:type="dxa"/>
            <w:vAlign w:val="center"/>
          </w:tcPr>
          <w:p>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pPr>
              <w:spacing w:line="360" w:lineRule="exact"/>
              <w:contextualSpacing/>
              <w:jc w:val="left"/>
              <w:rPr>
                <w:rFonts w:ascii="宋体" w:hAnsi="宋体"/>
                <w:kern w:val="0"/>
                <w:sz w:val="24"/>
              </w:rPr>
            </w:pPr>
            <w:r>
              <w:rPr>
                <w:rFonts w:hint="eastAsia" w:ascii="宋体" w:hAnsi="宋体"/>
                <w:kern w:val="0"/>
                <w:sz w:val="24"/>
                <w:lang w:val="en-US" w:eastAsia="zh-CN"/>
              </w:rPr>
              <w:t>3.2</w:t>
            </w:r>
            <w:r>
              <w:rPr>
                <w:rFonts w:hint="eastAsia" w:ascii="宋体" w:hAnsi="宋体"/>
                <w:kern w:val="0"/>
                <w:sz w:val="24"/>
              </w:rPr>
              <w:t>万元。（超过采购预算报价无效）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pPr>
              <w:spacing w:line="440" w:lineRule="exact"/>
              <w:jc w:val="center"/>
              <w:rPr>
                <w:rFonts w:ascii="宋体" w:hAnsi="宋体"/>
                <w:sz w:val="24"/>
              </w:rPr>
            </w:pPr>
            <w:r>
              <w:rPr>
                <w:rFonts w:ascii="宋体" w:hAnsi="宋体"/>
                <w:sz w:val="24"/>
              </w:rPr>
              <w:t>供应商</w:t>
            </w:r>
          </w:p>
        </w:tc>
        <w:tc>
          <w:tcPr>
            <w:tcW w:w="2211" w:type="dxa"/>
            <w:vAlign w:val="center"/>
          </w:tcPr>
          <w:p>
            <w:pPr>
              <w:spacing w:line="440" w:lineRule="exact"/>
              <w:jc w:val="center"/>
              <w:rPr>
                <w:rFonts w:ascii="宋体" w:hAnsi="宋体"/>
                <w:sz w:val="24"/>
              </w:rPr>
            </w:pPr>
            <w:r>
              <w:rPr>
                <w:rFonts w:hint="eastAsia" w:ascii="宋体" w:hAnsi="宋体"/>
                <w:sz w:val="24"/>
              </w:rPr>
              <w:t>供应商名称</w:t>
            </w:r>
          </w:p>
          <w:p>
            <w:pPr>
              <w:spacing w:line="440" w:lineRule="exact"/>
              <w:jc w:val="center"/>
              <w:rPr>
                <w:rFonts w:ascii="宋体" w:hAnsi="宋体"/>
                <w:sz w:val="24"/>
              </w:rPr>
            </w:pPr>
            <w:r>
              <w:rPr>
                <w:rFonts w:hint="eastAsia" w:ascii="宋体" w:hAnsi="宋体"/>
                <w:sz w:val="24"/>
              </w:rPr>
              <w:t>（盖公章）</w:t>
            </w:r>
          </w:p>
        </w:tc>
        <w:tc>
          <w:tcPr>
            <w:tcW w:w="2918" w:type="dxa"/>
            <w:vAlign w:val="center"/>
          </w:tcPr>
          <w:p>
            <w:pPr>
              <w:spacing w:line="440" w:lineRule="exact"/>
              <w:jc w:val="center"/>
              <w:rPr>
                <w:rFonts w:ascii="宋体" w:hAnsi="宋体"/>
                <w:sz w:val="24"/>
              </w:rPr>
            </w:pPr>
          </w:p>
        </w:tc>
        <w:tc>
          <w:tcPr>
            <w:tcW w:w="1278" w:type="dxa"/>
            <w:vAlign w:val="center"/>
          </w:tcPr>
          <w:p>
            <w:pPr>
              <w:spacing w:line="440" w:lineRule="exact"/>
              <w:jc w:val="center"/>
              <w:rPr>
                <w:rFonts w:ascii="宋体" w:hAnsi="宋体"/>
                <w:sz w:val="24"/>
              </w:rPr>
            </w:pPr>
            <w:r>
              <w:rPr>
                <w:rFonts w:hint="eastAsia" w:ascii="宋体" w:hAnsi="宋体"/>
                <w:sz w:val="24"/>
              </w:rPr>
              <w:t>联系人及电话</w:t>
            </w:r>
          </w:p>
        </w:tc>
        <w:tc>
          <w:tcPr>
            <w:tcW w:w="2559"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pPr>
              <w:spacing w:line="440" w:lineRule="exact"/>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投标响应内容</w:t>
            </w:r>
          </w:p>
        </w:tc>
        <w:tc>
          <w:tcPr>
            <w:tcW w:w="6755" w:type="dxa"/>
            <w:gridSpan w:val="3"/>
            <w:vAlign w:val="center"/>
          </w:tcPr>
          <w:p>
            <w:pPr>
              <w:spacing w:line="4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pP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投标报价（元）</w:t>
            </w:r>
          </w:p>
          <w:p>
            <w:pPr>
              <w:jc w:val="center"/>
              <w:rPr>
                <w:rFonts w:ascii="宋体" w:hAnsi="宋体"/>
                <w:sz w:val="24"/>
              </w:rPr>
            </w:pPr>
          </w:p>
          <w:p>
            <w:pPr>
              <w:jc w:val="center"/>
              <w:rPr>
                <w:rFonts w:ascii="宋体" w:hAnsi="宋体"/>
                <w:sz w:val="24"/>
              </w:rPr>
            </w:pPr>
            <w:r>
              <w:rPr>
                <w:rFonts w:hint="eastAsia" w:ascii="宋体" w:hAnsi="宋体"/>
                <w:sz w:val="24"/>
              </w:rPr>
              <w:t>投标报价大写：</w:t>
            </w:r>
          </w:p>
          <w:p>
            <w:pPr>
              <w:jc w:val="center"/>
              <w:rPr>
                <w:rFonts w:ascii="宋体" w:hAnsi="宋体"/>
                <w:sz w:val="24"/>
              </w:rPr>
            </w:pPr>
          </w:p>
        </w:tc>
        <w:tc>
          <w:tcPr>
            <w:tcW w:w="6755" w:type="dxa"/>
            <w:gridSpan w:val="3"/>
            <w:vAlign w:val="center"/>
          </w:tcPr>
          <w:p>
            <w:pPr>
              <w:jc w:val="center"/>
              <w:rPr>
                <w:rFonts w:ascii="宋体" w:hAnsi="宋体"/>
                <w:sz w:val="24"/>
              </w:rPr>
            </w:pPr>
          </w:p>
        </w:tc>
      </w:tr>
    </w:tbl>
    <w:p>
      <w:pPr>
        <w:rPr>
          <w:sz w:val="24"/>
        </w:rPr>
      </w:pPr>
    </w:p>
    <w:p>
      <w:pPr>
        <w:ind w:firstLine="900" w:firstLineChars="250"/>
        <w:rPr>
          <w:rFonts w:asciiTheme="minorEastAsia" w:hAnsiTheme="minorEastAsia" w:eastAsiaTheme="minorEastAsia"/>
          <w:sz w:val="36"/>
          <w:szCs w:val="36"/>
        </w:rPr>
      </w:pPr>
    </w:p>
    <w:p>
      <w:pPr>
        <w:ind w:firstLine="900" w:firstLineChars="250"/>
        <w:rPr>
          <w:rFonts w:asciiTheme="minorEastAsia" w:hAnsiTheme="minorEastAsia" w:eastAsiaTheme="minorEastAsia"/>
          <w:sz w:val="36"/>
          <w:szCs w:val="36"/>
        </w:rPr>
      </w:pPr>
    </w:p>
    <w:p>
      <w:pPr>
        <w:jc w:val="center"/>
        <w:rPr>
          <w:rFonts w:ascii="黑体" w:hAnsi="黑体" w:eastAsia="黑体"/>
          <w:sz w:val="32"/>
          <w:szCs w:val="32"/>
        </w:rPr>
      </w:pPr>
      <w:r>
        <w:rPr>
          <w:rFonts w:hint="eastAsia" w:ascii="黑体" w:eastAsia="黑体"/>
          <w:sz w:val="32"/>
          <w:szCs w:val="32"/>
        </w:rPr>
        <w:t>襄阳四中2022年</w:t>
      </w:r>
      <w:r>
        <w:rPr>
          <w:rFonts w:hint="eastAsia" w:ascii="黑体" w:eastAsia="黑体"/>
          <w:sz w:val="32"/>
          <w:szCs w:val="32"/>
          <w:lang w:eastAsia="zh-CN"/>
        </w:rPr>
        <w:t>通用技术试验室设备采购项目</w:t>
      </w:r>
      <w:r>
        <w:rPr>
          <w:rFonts w:hint="eastAsia" w:ascii="黑体" w:hAnsi="黑体" w:eastAsia="黑体"/>
          <w:sz w:val="32"/>
          <w:szCs w:val="32"/>
        </w:rPr>
        <w:t>（</w:t>
      </w:r>
      <w:r>
        <w:rPr>
          <w:rFonts w:hint="eastAsia" w:ascii="黑体" w:hAnsi="黑体" w:eastAsia="黑体" w:cs="Courier New"/>
          <w:sz w:val="32"/>
          <w:szCs w:val="32"/>
        </w:rPr>
        <w:t>襄采计备</w:t>
      </w:r>
      <w:r>
        <w:rPr>
          <w:rFonts w:hint="eastAsia" w:ascii="黑体" w:hAnsi="黑体" w:eastAsia="黑体"/>
          <w:sz w:val="32"/>
          <w:szCs w:val="32"/>
        </w:rPr>
        <w:t>[2022]</w:t>
      </w:r>
      <w:r>
        <w:rPr>
          <w:rFonts w:hint="eastAsia" w:ascii="黑体" w:hAnsi="黑体" w:eastAsia="黑体"/>
          <w:sz w:val="32"/>
          <w:szCs w:val="32"/>
          <w:lang w:val="en-US" w:eastAsia="zh-CN"/>
        </w:rPr>
        <w:t>00235</w:t>
      </w:r>
      <w:r>
        <w:rPr>
          <w:rFonts w:hint="eastAsia" w:ascii="黑体" w:hAnsi="黑体" w:eastAsia="黑体"/>
          <w:sz w:val="32"/>
          <w:szCs w:val="32"/>
        </w:rPr>
        <w:t>号）报价明细表</w:t>
      </w:r>
    </w:p>
    <w:p>
      <w:pPr>
        <w:jc w:val="center"/>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（供应商填写）</w:t>
      </w:r>
    </w:p>
    <w:tbl>
      <w:tblPr>
        <w:tblStyle w:val="6"/>
        <w:tblW w:w="8702" w:type="dxa"/>
        <w:tblInd w:w="0" w:type="dxa"/>
        <w:tblLayout w:type="fixed"/>
        <w:tblCellMar>
          <w:top w:w="0" w:type="dxa"/>
          <w:left w:w="108" w:type="dxa"/>
          <w:bottom w:w="0" w:type="dxa"/>
          <w:right w:w="108" w:type="dxa"/>
        </w:tblCellMar>
      </w:tblPr>
      <w:tblGrid>
        <w:gridCol w:w="441"/>
        <w:gridCol w:w="531"/>
        <w:gridCol w:w="5448"/>
        <w:gridCol w:w="418"/>
        <w:gridCol w:w="403"/>
        <w:gridCol w:w="821"/>
        <w:gridCol w:w="640"/>
      </w:tblGrid>
      <w:tr>
        <w:tblPrEx>
          <w:tblCellMar>
            <w:top w:w="0" w:type="dxa"/>
            <w:left w:w="108" w:type="dxa"/>
            <w:bottom w:w="0" w:type="dxa"/>
            <w:right w:w="108" w:type="dxa"/>
          </w:tblCellMar>
        </w:tblPrEx>
        <w:trPr>
          <w:trHeight w:val="360" w:hRule="atLeast"/>
        </w:trPr>
        <w:tc>
          <w:tcPr>
            <w:tcW w:w="44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序号</w:t>
            </w:r>
          </w:p>
        </w:tc>
        <w:tc>
          <w:tcPr>
            <w:tcW w:w="53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产品名称</w:t>
            </w:r>
          </w:p>
        </w:tc>
        <w:tc>
          <w:tcPr>
            <w:tcW w:w="544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项目</w:t>
            </w:r>
            <w:r>
              <w:rPr>
                <w:rFonts w:hint="eastAsia" w:ascii="宋体" w:hAnsi="宋体" w:cs="宋体"/>
                <w:kern w:val="0"/>
                <w:sz w:val="20"/>
                <w:szCs w:val="20"/>
                <w:lang w:eastAsia="zh-CN"/>
              </w:rPr>
              <w:t>参数</w:t>
            </w:r>
            <w:r>
              <w:rPr>
                <w:rFonts w:hint="eastAsia" w:ascii="宋体" w:hAnsi="宋体" w:cs="宋体"/>
                <w:kern w:val="0"/>
                <w:sz w:val="20"/>
                <w:szCs w:val="20"/>
              </w:rPr>
              <w:t>描述</w:t>
            </w:r>
          </w:p>
        </w:tc>
        <w:tc>
          <w:tcPr>
            <w:tcW w:w="41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单位</w:t>
            </w:r>
          </w:p>
        </w:tc>
        <w:tc>
          <w:tcPr>
            <w:tcW w:w="40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lang w:eastAsia="zh-CN"/>
              </w:rPr>
              <w:t>数</w:t>
            </w:r>
            <w:r>
              <w:rPr>
                <w:rFonts w:hint="eastAsia" w:ascii="宋体" w:hAnsi="宋体" w:cs="宋体"/>
                <w:kern w:val="0"/>
                <w:sz w:val="20"/>
                <w:szCs w:val="20"/>
              </w:rPr>
              <w:t>量</w:t>
            </w:r>
          </w:p>
        </w:tc>
        <w:tc>
          <w:tcPr>
            <w:tcW w:w="1461" w:type="dxa"/>
            <w:gridSpan w:val="2"/>
            <w:tcBorders>
              <w:top w:val="single" w:color="000000" w:sz="8" w:space="0"/>
              <w:left w:val="nil"/>
              <w:bottom w:val="single" w:color="000000" w:sz="4" w:space="0"/>
              <w:right w:val="single" w:color="000000" w:sz="8"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金额（元）</w:t>
            </w:r>
          </w:p>
        </w:tc>
      </w:tr>
      <w:tr>
        <w:tblPrEx>
          <w:tblCellMar>
            <w:top w:w="0" w:type="dxa"/>
            <w:left w:w="108" w:type="dxa"/>
            <w:bottom w:w="0" w:type="dxa"/>
            <w:right w:w="108" w:type="dxa"/>
          </w:tblCellMar>
        </w:tblPrEx>
        <w:trPr>
          <w:trHeight w:val="740" w:hRule="atLeast"/>
        </w:trPr>
        <w:tc>
          <w:tcPr>
            <w:tcW w:w="441" w:type="dxa"/>
            <w:vMerge w:val="continue"/>
            <w:tcBorders>
              <w:top w:val="single" w:color="000000" w:sz="8" w:space="0"/>
              <w:left w:val="single" w:color="000000" w:sz="8"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531"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5448"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418"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403"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8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单价</w:t>
            </w:r>
          </w:p>
        </w:tc>
        <w:tc>
          <w:tcPr>
            <w:tcW w:w="640" w:type="dxa"/>
            <w:tcBorders>
              <w:top w:val="nil"/>
              <w:left w:val="single" w:color="000000" w:sz="4" w:space="0"/>
              <w:bottom w:val="single" w:color="000000" w:sz="4" w:space="0"/>
              <w:right w:val="single" w:color="000000" w:sz="8"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lang w:eastAsia="zh-CN"/>
              </w:rPr>
              <w:t>总</w:t>
            </w:r>
            <w:r>
              <w:rPr>
                <w:rFonts w:hint="eastAsia" w:ascii="宋体" w:hAnsi="宋体" w:cs="宋体"/>
                <w:kern w:val="0"/>
                <w:sz w:val="20"/>
                <w:szCs w:val="20"/>
              </w:rPr>
              <w:t>价　　</w:t>
            </w:r>
          </w:p>
        </w:tc>
      </w:tr>
      <w:tr>
        <w:tblPrEx>
          <w:tblCellMar>
            <w:top w:w="0" w:type="dxa"/>
            <w:left w:w="108" w:type="dxa"/>
            <w:bottom w:w="0" w:type="dxa"/>
            <w:right w:w="108" w:type="dxa"/>
          </w:tblCellMar>
        </w:tblPrEx>
        <w:trPr>
          <w:trHeight w:val="570" w:hRule="atLeast"/>
        </w:trPr>
        <w:tc>
          <w:tcPr>
            <w:tcW w:w="44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531"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桌面级3D打印机</w:t>
            </w:r>
          </w:p>
        </w:tc>
        <w:tc>
          <w:tcPr>
            <w:tcW w:w="544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机箱材质：钣金(1.5mm)</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机器尺寸：390mm*410mm*510mm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机器重量：15KG</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包装尺寸：450mm*450mm*530mm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包装重量：20KG</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平台材质：玻璃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喷嘴直径：0.4mm(0.2可选)</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喷嘴温度：170-260℃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喷头数量：1个</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电源：24V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输入电压：110V/220V 50HZ</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控制面板：4.3寸全彩触摸屏(支持中/英/俄文)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环境要求：5-50℃，湿度5-50%</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打印技术：FDM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打印尺寸：200*190*190mm</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层高精度：0.05-0.4mm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XY轴定位精度：0.01mm</w:t>
            </w:r>
            <w:r>
              <w:rPr>
                <w:rFonts w:hint="eastAsia" w:ascii="宋体" w:hAnsi="宋体" w:cs="宋体"/>
                <w:i w:val="0"/>
                <w:iCs w:val="0"/>
                <w:color w:val="000000"/>
                <w:kern w:val="0"/>
                <w:sz w:val="20"/>
                <w:szCs w:val="20"/>
                <w:u w:val="none"/>
                <w:lang w:val="en-US" w:eastAsia="zh-CN" w:bidi="ar"/>
              </w:rPr>
              <w:t xml:space="preserve">   </w:t>
            </w:r>
          </w:p>
          <w:p>
            <w:pPr>
              <w:widowControl/>
              <w:jc w:val="left"/>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Z轴定位精度：0.05mm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打印速度：10-300mm/s</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打印方式：支持USB连接或SD卡脱机打印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耗材参数： PLA.ABS.HIPS.PETG.PVA.PE.PP.木屑、碳纤维，尼龙，光变，渐变等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耗材倾向：PLA</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耗材直径：1.75mm</w:t>
            </w:r>
            <w:r>
              <w:rPr>
                <w:rFonts w:hint="eastAsia" w:ascii="宋体" w:hAnsi="宋体" w:cs="宋体"/>
                <w:i w:val="0"/>
                <w:iCs w:val="0"/>
                <w:color w:val="000000"/>
                <w:kern w:val="0"/>
                <w:sz w:val="20"/>
                <w:szCs w:val="20"/>
                <w:u w:val="none"/>
                <w:lang w:val="en-US" w:eastAsia="zh-CN" w:bidi="ar"/>
              </w:rPr>
              <w:t xml:space="preserve">   </w:t>
            </w:r>
          </w:p>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耗材颜色：多达几十种颜色可选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软件参数：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软件：HORI(兼容 CURA SLIC3R SKINFORGE)</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软件语言：中/英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操作系统：XP.WIN7.WIN8.WIN10.Mac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支持文件格式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STL,OBJ,AMF,BMP,JPG,JPEG,PNG,GCODE</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模型支撑功能：生成/不生成可选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机器特点：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1.4.3寸全彩触中文摸彩屏，中、英文操作界面可以选择，一键操作：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2.支撑可自动生成，模型支撑易剥离打印效果好，支持暂停换料：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3.打印精细度为0.05-0.4mm可调:超大成型尺寸：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4.钣金结构，CNC机加工零部件，保证打印的精度及长时间的稳定工作，开放式机身。</w:t>
            </w:r>
          </w:p>
        </w:tc>
        <w:tc>
          <w:tcPr>
            <w:tcW w:w="418"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台</w:t>
            </w:r>
          </w:p>
        </w:tc>
        <w:tc>
          <w:tcPr>
            <w:tcW w:w="403"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2</w:t>
            </w:r>
          </w:p>
        </w:tc>
        <w:tc>
          <w:tcPr>
            <w:tcW w:w="821"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640"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70" w:hRule="atLeast"/>
        </w:trPr>
        <w:tc>
          <w:tcPr>
            <w:tcW w:w="44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531"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全金属微型弓臂锯床</w:t>
            </w:r>
          </w:p>
        </w:tc>
        <w:tc>
          <w:tcPr>
            <w:tcW w:w="5448" w:type="dxa"/>
            <w:tcBorders>
              <w:top w:val="nil"/>
              <w:left w:val="nil"/>
              <w:bottom w:val="single" w:color="000000" w:sz="4" w:space="0"/>
              <w:right w:val="single" w:color="000000" w:sz="4" w:space="0"/>
            </w:tcBorders>
            <w:shd w:val="clear" w:color="FFFFFF" w:fill="FFFFFF"/>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1、金属联体主轴箱、中间块、线锯箱、皮带轮、线锯台、连接块、侧盖、皮带保护盖等全采用全金属结构；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2、马达转速：20000转/分钟；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3、输入电压/电流/功率：12VDC/3A/36W；开关电源的转入电压为110V-240V；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4、变压器具有过电流、过压、过热保护；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5、全金属黑色电泳工作台面积：120mm×100mm；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6、弓臂与锯条的中心距离为240mm；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7、锯割深度：硬木4mm、三夹板7mm、软木18mm、薄铝片0.5mm、有机玻璃2mm；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8、机器经过特殊设计,锯齿碰到皮肤只会引起轻微的振动,不会割伤，安全不伤手；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9、可以直线和曲线任意切割；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10、全金属黑色电泳弓臂为模具压铸成型，非钢管弯曲；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11、弓臂上带有模具一次成型的数字显示刻度用以提高锯切精度；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12、锯床压板上下调整杆具有方便的手紧螺丝固定结构，不用任何工具就可以上下调整和固定调整杆；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13、机床电机密封盖、基座侧盖、皮带盖、线锯盒、弓臂零件采用黑色金属电泳加工工艺制成；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14、防止孔内螺丝滑动，连接块使用四方螺母，提高连接块的稳定性和使用寿命；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15、连接块采用燕尾型结构，与机床零件的每个槽位相匹配；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16、机床采用安全圆角处理技术，有效预防金属件划伤皮肤。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※提供全金属微型弓臂锯床检验报告复印件并加盖公章</w:t>
            </w:r>
          </w:p>
        </w:tc>
        <w:tc>
          <w:tcPr>
            <w:tcW w:w="418"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台</w:t>
            </w:r>
          </w:p>
        </w:tc>
        <w:tc>
          <w:tcPr>
            <w:tcW w:w="403"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1</w:t>
            </w:r>
          </w:p>
        </w:tc>
        <w:tc>
          <w:tcPr>
            <w:tcW w:w="821"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640" w:type="dxa"/>
            <w:tcBorders>
              <w:top w:val="nil"/>
              <w:left w:val="nil"/>
              <w:bottom w:val="single" w:color="000000" w:sz="4" w:space="0"/>
              <w:right w:val="single" w:color="000000" w:sz="8" w:space="0"/>
            </w:tcBorders>
            <w:shd w:val="clear" w:color="FFFFFF" w:fill="FFFFFF"/>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p>
            <w:pPr>
              <w:widowControl/>
              <w:jc w:val="righ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70" w:hRule="atLeast"/>
        </w:trPr>
        <w:tc>
          <w:tcPr>
            <w:tcW w:w="44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531"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全金属微型台式磨床</w:t>
            </w:r>
          </w:p>
        </w:tc>
        <w:tc>
          <w:tcPr>
            <w:tcW w:w="5448"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1、金属联体主轴箱及马达箱、皮带轮、连接块、黑色电泳磨台板、砂纸盘等全采用全金属结构，有全金属黑色电泳砂轮保护罩；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2、马达转速：20000转/分钟；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3、输入电压/电流/功率：12VDC/3A/36W；开关电源的转入电压为110V-240V；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4、变压器具有过电流、过压、过热保护；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5、全金属黑色电泳工作台面积：120mm×100mm；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6、加工材料：木材、工程塑料、软金属(铝、铜等)；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7、具有砂轮机功能，配备全金属黑色电泳砂轮保护罩，磨床砂纸盘具有8个排气孔；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8、可以用来抛光、打磨,也可手持进行各种角度研磨；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9、工作台具有刻度定位线，提高加工的精确度；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10、机床电机密封盖、基座侧盖、砂轮罩、工作台等零件采用黑色金属电泳加工工艺制成；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11、防止孔内螺丝滑动，连接块使用四方螺母，提高连接块的稳定性和使用寿命；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12、连接块采用燕尾型结构，与机床零件的每个槽位相匹配；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13、机床采用安全圆角处理技术，有效预防金属件划伤皮肤。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※提供全金属微型台式磨床检验报告复印件并加盖公章</w:t>
            </w:r>
          </w:p>
        </w:tc>
        <w:tc>
          <w:tcPr>
            <w:tcW w:w="418"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台</w:t>
            </w:r>
          </w:p>
        </w:tc>
        <w:tc>
          <w:tcPr>
            <w:tcW w:w="403"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1</w:t>
            </w:r>
          </w:p>
        </w:tc>
        <w:tc>
          <w:tcPr>
            <w:tcW w:w="821"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640" w:type="dxa"/>
            <w:tcBorders>
              <w:top w:val="nil"/>
              <w:left w:val="nil"/>
              <w:bottom w:val="single" w:color="000000" w:sz="4" w:space="0"/>
              <w:right w:val="single" w:color="000000" w:sz="8" w:space="0"/>
            </w:tcBorders>
            <w:shd w:val="clear" w:color="FFFFFF" w:fill="FFFFFF"/>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p>
            <w:pPr>
              <w:widowControl/>
              <w:jc w:val="righ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70" w:hRule="atLeast"/>
        </w:trPr>
        <w:tc>
          <w:tcPr>
            <w:tcW w:w="44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4</w:t>
            </w:r>
          </w:p>
        </w:tc>
        <w:tc>
          <w:tcPr>
            <w:tcW w:w="531"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全金属微型木工车床</w:t>
            </w:r>
          </w:p>
        </w:tc>
        <w:tc>
          <w:tcPr>
            <w:tcW w:w="5448"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1、金属联体主轴箱、顶尾座、皮带轮、连接块、皮带保护盖等全采用全金属结构；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2、马达转速：20000转/分钟；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3、输入电压/电流/功率：12VDC/3A/36W；开关电源的转入电压为110V-240V；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4、变压器具有过电流，过压，过热保护；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5、中心高25mm，X轴滑块行程135mm， Y轴行程35mm；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6、加工材料最大直径50mm；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7、加工材料最大长度：135mm（大滑块的最大行程为135mm）；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8、配备中心驱动器，采用六角顶尖加中心顶尖设计，加工过程更加牢靠防止工件滑落；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9、可配备砂轮机功能，直接对车刀进行打磨，需选配砂轮保护罩；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10、X轴手轮，具有0.02mm精度的刻度线，增加机床加工工件的精确度，机器手轮采用3/4半圆结构，方便拆装机床连接块；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11、机床电机密封盖、顶尾座密封盖、基座侧盖、皮带盖、木车刀支撑架、手轮等零件采用全金属黑色电泳加工工艺制成；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12、小滑块、大滑块侧面有防松螺母设计，防止在机床使用过程中由于振动过大而产生间隙，提高加工精度；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13、连接块采用燕尾型结构，与机床零件的每个槽位相匹配；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14、为了防止孔内螺丝滑动，连接块使用四方螺母结构；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15、可加工不同规格的圆柱，如加工成花瓶、酒杯等，主要加工材料为木材、铜材和铝材；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16、机床采用安全圆角处理技术，有效预防金属件划伤皮肤。</w:t>
            </w:r>
          </w:p>
        </w:tc>
        <w:tc>
          <w:tcPr>
            <w:tcW w:w="418"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p>
          <w:p>
            <w:pPr>
              <w:bidi w:val="0"/>
              <w:rPr>
                <w:rFonts w:ascii="Times New Roman" w:hAnsi="Times New Roman" w:eastAsia="宋体" w:cs="Times New Roman"/>
                <w:kern w:val="2"/>
                <w:sz w:val="21"/>
                <w:szCs w:val="24"/>
                <w:lang w:val="en-US" w:eastAsia="zh-CN" w:bidi="ar-SA"/>
              </w:rPr>
            </w:pPr>
          </w:p>
          <w:p>
            <w:pPr>
              <w:bidi w:val="0"/>
              <w:jc w:val="left"/>
              <w:rPr>
                <w:lang w:val="en-US" w:eastAsia="zh-CN"/>
              </w:rPr>
            </w:pPr>
            <w:r>
              <w:rPr>
                <w:rFonts w:hint="eastAsia"/>
                <w:lang w:val="en-US" w:eastAsia="zh-CN"/>
              </w:rPr>
              <w:t>台</w:t>
            </w:r>
          </w:p>
        </w:tc>
        <w:tc>
          <w:tcPr>
            <w:tcW w:w="403"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20"/>
                <w:szCs w:val="20"/>
                <w:lang w:val="en-US" w:eastAsia="zh-CN"/>
              </w:rPr>
            </w:pPr>
          </w:p>
          <w:p>
            <w:pPr>
              <w:widowControl/>
              <w:jc w:val="center"/>
              <w:rPr>
                <w:rFonts w:hint="eastAsia" w:ascii="宋体" w:hAnsi="宋体" w:cs="宋体"/>
                <w:kern w:val="0"/>
                <w:sz w:val="20"/>
                <w:szCs w:val="20"/>
                <w:lang w:val="en-US" w:eastAsia="zh-CN"/>
              </w:rPr>
            </w:pPr>
          </w:p>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1</w:t>
            </w:r>
          </w:p>
        </w:tc>
        <w:tc>
          <w:tcPr>
            <w:tcW w:w="821"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640" w:type="dxa"/>
            <w:tcBorders>
              <w:top w:val="nil"/>
              <w:left w:val="nil"/>
              <w:bottom w:val="single" w:color="000000" w:sz="4" w:space="0"/>
              <w:right w:val="single" w:color="000000" w:sz="8" w:space="0"/>
            </w:tcBorders>
            <w:shd w:val="clear" w:color="FFFFFF" w:fill="FFFFFF"/>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p>
            <w:pPr>
              <w:widowControl/>
              <w:jc w:val="righ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928" w:hRule="atLeast"/>
        </w:trPr>
        <w:tc>
          <w:tcPr>
            <w:tcW w:w="44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5</w:t>
            </w:r>
          </w:p>
        </w:tc>
        <w:tc>
          <w:tcPr>
            <w:tcW w:w="531"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Fonts w:hint="eastAsia" w:ascii="宋体" w:hAnsi="宋体" w:eastAsia="宋体" w:cs="宋体"/>
                <w:i w:val="0"/>
                <w:iCs w:val="0"/>
                <w:color w:val="000000"/>
                <w:kern w:val="0"/>
                <w:sz w:val="20"/>
                <w:szCs w:val="20"/>
                <w:u w:val="none"/>
                <w:lang w:val="en-US" w:eastAsia="zh-CN" w:bidi="ar"/>
              </w:rPr>
              <w:t>全金属微型摇臂钻床</w:t>
            </w:r>
          </w:p>
        </w:tc>
        <w:tc>
          <w:tcPr>
            <w:tcW w:w="5448"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r>
              <w:rPr>
                <w:rStyle w:val="13"/>
                <w:lang w:val="en-US" w:eastAsia="zh-CN" w:bidi="ar"/>
              </w:rPr>
              <w:t>1、金属联体主轴箱、手轮、中间块、齿轮、小滑块、床身侧盖、长滑块、钻台板、连接块、皮带保护盖等全采用全金属结构；</w:t>
            </w:r>
            <w:r>
              <w:rPr>
                <w:rStyle w:val="13"/>
                <w:lang w:val="en-US" w:eastAsia="zh-CN" w:bidi="ar"/>
              </w:rPr>
              <w:br w:type="textWrapping"/>
            </w:r>
            <w:r>
              <w:rPr>
                <w:rStyle w:val="13"/>
                <w:lang w:val="en-US" w:eastAsia="zh-CN" w:bidi="ar"/>
              </w:rPr>
              <w:t>2、马达转速：20000转/分钟；</w:t>
            </w:r>
            <w:r>
              <w:rPr>
                <w:rStyle w:val="13"/>
                <w:lang w:val="en-US" w:eastAsia="zh-CN" w:bidi="ar"/>
              </w:rPr>
              <w:br w:type="textWrapping"/>
            </w:r>
            <w:r>
              <w:rPr>
                <w:rStyle w:val="13"/>
                <w:lang w:val="en-US" w:eastAsia="zh-CN" w:bidi="ar"/>
              </w:rPr>
              <w:t>3、输入电压/电流/功率：12V/3A/36W，开关电源的转入电压为110V - 240V；</w:t>
            </w:r>
            <w:r>
              <w:rPr>
                <w:rStyle w:val="13"/>
                <w:lang w:val="en-US" w:eastAsia="zh-CN" w:bidi="ar"/>
              </w:rPr>
              <w:br w:type="textWrapping"/>
            </w:r>
            <w:r>
              <w:rPr>
                <w:rStyle w:val="13"/>
                <w:lang w:val="en-US" w:eastAsia="zh-CN" w:bidi="ar"/>
              </w:rPr>
              <w:t>4、变压器具有过电流，过压，过热保护；</w:t>
            </w:r>
            <w:r>
              <w:rPr>
                <w:rStyle w:val="13"/>
                <w:lang w:val="en-US" w:eastAsia="zh-CN" w:bidi="ar"/>
              </w:rPr>
              <w:br w:type="textWrapping"/>
            </w:r>
            <w:r>
              <w:rPr>
                <w:rStyle w:val="13"/>
                <w:lang w:val="en-US" w:eastAsia="zh-CN" w:bidi="ar"/>
              </w:rPr>
              <w:t>5、X轴滑块行程：135mm；</w:t>
            </w:r>
            <w:r>
              <w:rPr>
                <w:rStyle w:val="13"/>
                <w:lang w:val="en-US" w:eastAsia="zh-CN" w:bidi="ar"/>
              </w:rPr>
              <w:br w:type="textWrapping"/>
            </w:r>
            <w:r>
              <w:rPr>
                <w:rStyle w:val="13"/>
                <w:lang w:val="en-US" w:eastAsia="zh-CN" w:bidi="ar"/>
              </w:rPr>
              <w:t>6、夹头：1-6mm，规格：</w:t>
            </w:r>
            <w:r>
              <w:rPr>
                <w:rStyle w:val="14"/>
                <w:rFonts w:eastAsia="宋体"/>
                <w:lang w:val="en-US" w:eastAsia="zh-CN" w:bidi="ar"/>
              </w:rPr>
              <w:t>ф</w:t>
            </w:r>
            <w:r>
              <w:rPr>
                <w:rStyle w:val="13"/>
                <w:lang w:val="en-US" w:eastAsia="zh-CN" w:bidi="ar"/>
              </w:rPr>
              <w:t>1、</w:t>
            </w:r>
            <w:r>
              <w:rPr>
                <w:rStyle w:val="14"/>
                <w:rFonts w:eastAsia="宋体"/>
                <w:lang w:val="en-US" w:eastAsia="zh-CN" w:bidi="ar"/>
              </w:rPr>
              <w:t>ф</w:t>
            </w:r>
            <w:r>
              <w:rPr>
                <w:rStyle w:val="13"/>
                <w:lang w:val="en-US" w:eastAsia="zh-CN" w:bidi="ar"/>
              </w:rPr>
              <w:t>2、</w:t>
            </w:r>
            <w:r>
              <w:rPr>
                <w:rStyle w:val="14"/>
                <w:rFonts w:eastAsia="宋体"/>
                <w:lang w:val="en-US" w:eastAsia="zh-CN" w:bidi="ar"/>
              </w:rPr>
              <w:t>ф</w:t>
            </w:r>
            <w:r>
              <w:rPr>
                <w:rStyle w:val="13"/>
                <w:lang w:val="en-US" w:eastAsia="zh-CN" w:bidi="ar"/>
              </w:rPr>
              <w:t>2.5、</w:t>
            </w:r>
            <w:r>
              <w:rPr>
                <w:rStyle w:val="14"/>
                <w:rFonts w:eastAsia="宋体"/>
                <w:lang w:val="en-US" w:eastAsia="zh-CN" w:bidi="ar"/>
              </w:rPr>
              <w:t>ф</w:t>
            </w:r>
            <w:r>
              <w:rPr>
                <w:rStyle w:val="13"/>
                <w:lang w:val="en-US" w:eastAsia="zh-CN" w:bidi="ar"/>
              </w:rPr>
              <w:t>3、</w:t>
            </w:r>
            <w:r>
              <w:rPr>
                <w:rStyle w:val="14"/>
                <w:rFonts w:eastAsia="宋体"/>
                <w:lang w:val="en-US" w:eastAsia="zh-CN" w:bidi="ar"/>
              </w:rPr>
              <w:t>ф</w:t>
            </w:r>
            <w:r>
              <w:rPr>
                <w:rStyle w:val="13"/>
                <w:lang w:val="en-US" w:eastAsia="zh-CN" w:bidi="ar"/>
              </w:rPr>
              <w:t>3.5、</w:t>
            </w:r>
            <w:r>
              <w:rPr>
                <w:rStyle w:val="14"/>
                <w:rFonts w:eastAsia="宋体"/>
                <w:lang w:val="en-US" w:eastAsia="zh-CN" w:bidi="ar"/>
              </w:rPr>
              <w:t>ф</w:t>
            </w:r>
            <w:r>
              <w:rPr>
                <w:rStyle w:val="13"/>
                <w:lang w:val="en-US" w:eastAsia="zh-CN" w:bidi="ar"/>
              </w:rPr>
              <w:t>4、</w:t>
            </w:r>
            <w:r>
              <w:rPr>
                <w:rStyle w:val="14"/>
                <w:rFonts w:eastAsia="宋体"/>
                <w:lang w:val="en-US" w:eastAsia="zh-CN" w:bidi="ar"/>
              </w:rPr>
              <w:t>ф</w:t>
            </w:r>
            <w:r>
              <w:rPr>
                <w:rStyle w:val="13"/>
                <w:lang w:val="en-US" w:eastAsia="zh-CN" w:bidi="ar"/>
              </w:rPr>
              <w:t>5、</w:t>
            </w:r>
            <w:r>
              <w:rPr>
                <w:rStyle w:val="14"/>
                <w:rFonts w:eastAsia="宋体"/>
                <w:lang w:val="en-US" w:eastAsia="zh-CN" w:bidi="ar"/>
              </w:rPr>
              <w:t>ф</w:t>
            </w:r>
            <w:r>
              <w:rPr>
                <w:rStyle w:val="13"/>
                <w:lang w:val="en-US" w:eastAsia="zh-CN" w:bidi="ar"/>
              </w:rPr>
              <w:t>6；</w:t>
            </w:r>
            <w:r>
              <w:rPr>
                <w:rStyle w:val="13"/>
                <w:lang w:val="en-US" w:eastAsia="zh-CN" w:bidi="ar"/>
              </w:rPr>
              <w:br w:type="textWrapping"/>
            </w:r>
            <w:r>
              <w:rPr>
                <w:rStyle w:val="13"/>
                <w:lang w:val="en-US" w:eastAsia="zh-CN" w:bidi="ar"/>
              </w:rPr>
              <w:t>7、钻床工作台面积：120mm x100mm；</w:t>
            </w:r>
            <w:r>
              <w:rPr>
                <w:rStyle w:val="13"/>
                <w:lang w:val="en-US" w:eastAsia="zh-CN" w:bidi="ar"/>
              </w:rPr>
              <w:br w:type="textWrapping"/>
            </w:r>
            <w:r>
              <w:rPr>
                <w:rStyle w:val="13"/>
                <w:lang w:val="en-US" w:eastAsia="zh-CN" w:bidi="ar"/>
              </w:rPr>
              <w:t>8、电机与主轴箱为一体式金属结构；</w:t>
            </w:r>
            <w:r>
              <w:rPr>
                <w:rStyle w:val="13"/>
                <w:lang w:val="en-US" w:eastAsia="zh-CN" w:bidi="ar"/>
              </w:rPr>
              <w:br w:type="textWrapping"/>
            </w:r>
            <w:r>
              <w:rPr>
                <w:rStyle w:val="13"/>
                <w:lang w:val="en-US" w:eastAsia="zh-CN" w:bidi="ar"/>
              </w:rPr>
              <w:t xml:space="preserve">9、适用加工：木料、软金属（金、银、铜、铝）、有机玻璃、塑胶等；             </w:t>
            </w:r>
            <w:r>
              <w:rPr>
                <w:rStyle w:val="13"/>
                <w:lang w:val="en-US" w:eastAsia="zh-CN" w:bidi="ar"/>
              </w:rPr>
              <w:br w:type="textWrapping"/>
            </w:r>
            <w:r>
              <w:rPr>
                <w:rStyle w:val="13"/>
                <w:lang w:val="en-US" w:eastAsia="zh-CN" w:bidi="ar"/>
              </w:rPr>
              <w:t>10、Z轴手轮、X轴手轮，具有0.02mm精度的刻度线，增加机床加工工件的精确度，机器手轮采用3/4半圆结构，方便拆装机床连接块；</w:t>
            </w:r>
            <w:r>
              <w:rPr>
                <w:rStyle w:val="13"/>
                <w:lang w:val="en-US" w:eastAsia="zh-CN" w:bidi="ar"/>
              </w:rPr>
              <w:br w:type="textWrapping"/>
            </w:r>
            <w:r>
              <w:rPr>
                <w:rStyle w:val="13"/>
                <w:lang w:val="en-US" w:eastAsia="zh-CN" w:bidi="ar"/>
              </w:rPr>
              <w:t>11、机床钻台板具有刻度线，可精准快捷的加工工件；</w:t>
            </w:r>
            <w:r>
              <w:rPr>
                <w:rStyle w:val="13"/>
                <w:lang w:val="en-US" w:eastAsia="zh-CN" w:bidi="ar"/>
              </w:rPr>
              <w:br w:type="textWrapping"/>
            </w:r>
            <w:r>
              <w:rPr>
                <w:rStyle w:val="13"/>
                <w:lang w:val="en-US" w:eastAsia="zh-CN" w:bidi="ar"/>
              </w:rPr>
              <w:t>12、机床电机密封盖、基座侧盖、皮带盖、工作台、手轮零件采用全金属黑色电泳加工工艺制成；</w:t>
            </w:r>
            <w:r>
              <w:rPr>
                <w:rStyle w:val="13"/>
                <w:lang w:val="en-US" w:eastAsia="zh-CN" w:bidi="ar"/>
              </w:rPr>
              <w:br w:type="textWrapping"/>
            </w:r>
            <w:r>
              <w:rPr>
                <w:rStyle w:val="13"/>
                <w:lang w:val="en-US" w:eastAsia="zh-CN" w:bidi="ar"/>
              </w:rPr>
              <w:t>13、刀具夹头采用六角螺母固定设计，增加夹持刀具（比如钻头、铣刀）的紧固度，提高了操作的安全性；</w:t>
            </w:r>
            <w:r>
              <w:rPr>
                <w:rStyle w:val="13"/>
                <w:lang w:val="en-US" w:eastAsia="zh-CN" w:bidi="ar"/>
              </w:rPr>
              <w:br w:type="textWrapping"/>
            </w:r>
            <w:r>
              <w:rPr>
                <w:rStyle w:val="13"/>
                <w:lang w:val="en-US" w:eastAsia="zh-CN" w:bidi="ar"/>
              </w:rPr>
              <w:t>14、小滑块、大滑块侧面有防松螺母设计，防止在机床使用过程中由于振动过大而产生间隙，提高加工精度；</w:t>
            </w:r>
            <w:r>
              <w:rPr>
                <w:rStyle w:val="13"/>
                <w:lang w:val="en-US" w:eastAsia="zh-CN" w:bidi="ar"/>
              </w:rPr>
              <w:br w:type="textWrapping"/>
            </w:r>
            <w:r>
              <w:rPr>
                <w:rStyle w:val="13"/>
                <w:lang w:val="en-US" w:eastAsia="zh-CN" w:bidi="ar"/>
              </w:rPr>
              <w:t>15、金属中间块的右左两边具有安装机床摇臂的U型孔；</w:t>
            </w:r>
            <w:r>
              <w:rPr>
                <w:rStyle w:val="13"/>
                <w:lang w:val="en-US" w:eastAsia="zh-CN" w:bidi="ar"/>
              </w:rPr>
              <w:br w:type="textWrapping"/>
            </w:r>
            <w:r>
              <w:rPr>
                <w:rStyle w:val="13"/>
                <w:lang w:val="en-US" w:eastAsia="zh-CN" w:bidi="ar"/>
              </w:rPr>
              <w:t>16、防止孔内螺丝滑动，连接块使用四方螺母，提高连接块的稳定性和使用寿命；</w:t>
            </w:r>
            <w:r>
              <w:rPr>
                <w:rStyle w:val="13"/>
                <w:lang w:val="en-US" w:eastAsia="zh-CN" w:bidi="ar"/>
              </w:rPr>
              <w:br w:type="textWrapping"/>
            </w:r>
            <w:r>
              <w:rPr>
                <w:rStyle w:val="13"/>
                <w:lang w:val="en-US" w:eastAsia="zh-CN" w:bidi="ar"/>
              </w:rPr>
              <w:t>17、连接块采用燕尾型结构，与机床零件的每个槽位相匹配，提高机床的稳定性和加工精度；</w:t>
            </w:r>
            <w:r>
              <w:rPr>
                <w:rStyle w:val="13"/>
                <w:lang w:val="en-US" w:eastAsia="zh-CN" w:bidi="ar"/>
              </w:rPr>
              <w:br w:type="textWrapping"/>
            </w:r>
            <w:r>
              <w:rPr>
                <w:rStyle w:val="13"/>
                <w:lang w:val="en-US" w:eastAsia="zh-CN" w:bidi="ar"/>
              </w:rPr>
              <w:t>18、机床采用安全圆角处理技术，预防金属件划伤皮肤。</w:t>
            </w:r>
          </w:p>
        </w:tc>
        <w:tc>
          <w:tcPr>
            <w:tcW w:w="418"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台</w:t>
            </w:r>
          </w:p>
        </w:tc>
        <w:tc>
          <w:tcPr>
            <w:tcW w:w="403"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1</w:t>
            </w:r>
          </w:p>
        </w:tc>
        <w:tc>
          <w:tcPr>
            <w:tcW w:w="821"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640" w:type="dxa"/>
            <w:tcBorders>
              <w:top w:val="nil"/>
              <w:left w:val="nil"/>
              <w:bottom w:val="single" w:color="000000" w:sz="4" w:space="0"/>
              <w:right w:val="single" w:color="000000" w:sz="8" w:space="0"/>
            </w:tcBorders>
            <w:shd w:val="clear" w:color="FFFFFF" w:fill="FFFFFF"/>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p>
            <w:pPr>
              <w:widowControl/>
              <w:jc w:val="righ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928" w:hRule="atLeast"/>
        </w:trPr>
        <w:tc>
          <w:tcPr>
            <w:tcW w:w="8062" w:type="dxa"/>
            <w:gridSpan w:val="6"/>
            <w:tcBorders>
              <w:top w:val="nil"/>
              <w:left w:val="single" w:color="000000" w:sz="8" w:space="0"/>
              <w:bottom w:val="single" w:color="000000" w:sz="4" w:space="0"/>
              <w:right w:val="single" w:color="000000" w:sz="4" w:space="0"/>
            </w:tcBorders>
            <w:shd w:val="clear" w:color="FFFFFF" w:fill="FFFFFF"/>
            <w:vAlign w:val="center"/>
          </w:tcPr>
          <w:p>
            <w:pPr>
              <w:widowControl/>
              <w:jc w:val="right"/>
              <w:rPr>
                <w:rFonts w:hint="eastAsia" w:ascii="宋体" w:hAnsi="宋体" w:eastAsia="宋体" w:cs="宋体"/>
                <w:kern w:val="0"/>
                <w:sz w:val="20"/>
                <w:szCs w:val="20"/>
                <w:lang w:eastAsia="zh-CN"/>
              </w:rPr>
            </w:pPr>
            <w:r>
              <w:rPr>
                <w:rFonts w:hint="eastAsia" w:ascii="宋体" w:hAnsi="宋体" w:cs="宋体"/>
                <w:kern w:val="0"/>
                <w:sz w:val="20"/>
                <w:szCs w:val="20"/>
                <w:lang w:eastAsia="zh-CN"/>
              </w:rPr>
              <w:t>合计金额</w:t>
            </w:r>
          </w:p>
        </w:tc>
        <w:tc>
          <w:tcPr>
            <w:tcW w:w="640" w:type="dxa"/>
            <w:tcBorders>
              <w:top w:val="nil"/>
              <w:left w:val="nil"/>
              <w:bottom w:val="single" w:color="000000" w:sz="4" w:space="0"/>
              <w:right w:val="single" w:color="000000" w:sz="8" w:space="0"/>
            </w:tcBorders>
            <w:shd w:val="clear" w:color="FFFFFF" w:fill="FFFFFF"/>
            <w:vAlign w:val="center"/>
          </w:tcPr>
          <w:p>
            <w:pPr>
              <w:widowControl/>
              <w:jc w:val="right"/>
              <w:rPr>
                <w:rFonts w:hint="eastAsia" w:ascii="宋体" w:hAnsi="宋体" w:cs="宋体"/>
                <w:kern w:val="0"/>
                <w:sz w:val="20"/>
                <w:szCs w:val="20"/>
              </w:rPr>
            </w:pPr>
          </w:p>
        </w:tc>
      </w:tr>
    </w:tbl>
    <w:p>
      <w:pPr>
        <w:ind w:firstLine="480" w:firstLineChars="200"/>
        <w:rPr>
          <w:rFonts w:ascii="宋体" w:hAnsi="宋体"/>
          <w:sz w:val="24"/>
        </w:rPr>
      </w:pPr>
    </w:p>
    <w:p>
      <w:pPr>
        <w:ind w:firstLine="480" w:firstLineChars="200"/>
        <w:rPr>
          <w:rFonts w:hint="default" w:ascii="宋体" w:hAnsi="宋体"/>
          <w:sz w:val="24"/>
          <w:lang w:val="en-US" w:eastAsia="zh-CN"/>
        </w:rPr>
      </w:pPr>
    </w:p>
    <w:p>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pPr>
        <w:adjustRightInd w:val="0"/>
        <w:snapToGrid w:val="0"/>
        <w:spacing w:line="360" w:lineRule="auto"/>
        <w:ind w:left="-88" w:leftChars="-42"/>
        <w:rPr>
          <w:rFonts w:hint="eastAsia" w:ascii="仿宋_GB2312" w:hAnsi="仿宋_GB2312" w:eastAsia="仿宋_GB2312" w:cs="仿宋_GB2312"/>
          <w:bCs/>
          <w:color w:val="444444"/>
          <w:sz w:val="28"/>
          <w:szCs w:val="28"/>
          <w:lang w:val="en-US" w:eastAsia="zh-CN"/>
        </w:rPr>
      </w:pPr>
      <w:r>
        <w:rPr>
          <w:rFonts w:hint="eastAsia" w:ascii="宋体" w:hAnsi="宋体"/>
          <w:sz w:val="28"/>
          <w:szCs w:val="28"/>
        </w:rPr>
        <w:t>时             间：</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1701" w:right="1418"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wMGJkNDEzZDUzMzkyNzE1NGQwZjBlOTM3YzlmMzMifQ=="/>
  </w:docVars>
  <w:rsids>
    <w:rsidRoot w:val="003E5873"/>
    <w:rsid w:val="00004D0B"/>
    <w:rsid w:val="000537E1"/>
    <w:rsid w:val="0008014C"/>
    <w:rsid w:val="0008171A"/>
    <w:rsid w:val="0008171B"/>
    <w:rsid w:val="00095936"/>
    <w:rsid w:val="00096584"/>
    <w:rsid w:val="000A3DBF"/>
    <w:rsid w:val="000D0E41"/>
    <w:rsid w:val="000F5EA0"/>
    <w:rsid w:val="00144304"/>
    <w:rsid w:val="00145439"/>
    <w:rsid w:val="001F51C9"/>
    <w:rsid w:val="00203FEA"/>
    <w:rsid w:val="002072FD"/>
    <w:rsid w:val="00207325"/>
    <w:rsid w:val="00246C47"/>
    <w:rsid w:val="0026431E"/>
    <w:rsid w:val="00266056"/>
    <w:rsid w:val="002734D2"/>
    <w:rsid w:val="00283F4B"/>
    <w:rsid w:val="002C7797"/>
    <w:rsid w:val="002E6B72"/>
    <w:rsid w:val="002F5C74"/>
    <w:rsid w:val="003002F0"/>
    <w:rsid w:val="003005B9"/>
    <w:rsid w:val="00311C21"/>
    <w:rsid w:val="00367A83"/>
    <w:rsid w:val="00376346"/>
    <w:rsid w:val="003C704C"/>
    <w:rsid w:val="003E5873"/>
    <w:rsid w:val="003F623E"/>
    <w:rsid w:val="00410EDB"/>
    <w:rsid w:val="00413F6F"/>
    <w:rsid w:val="004700A2"/>
    <w:rsid w:val="00471924"/>
    <w:rsid w:val="00484AA8"/>
    <w:rsid w:val="004D2C08"/>
    <w:rsid w:val="004E5A2A"/>
    <w:rsid w:val="004E6119"/>
    <w:rsid w:val="004F252D"/>
    <w:rsid w:val="004F45A0"/>
    <w:rsid w:val="00500AE4"/>
    <w:rsid w:val="00501825"/>
    <w:rsid w:val="0050342D"/>
    <w:rsid w:val="0052155E"/>
    <w:rsid w:val="005324F0"/>
    <w:rsid w:val="005601C7"/>
    <w:rsid w:val="005648F5"/>
    <w:rsid w:val="005A0109"/>
    <w:rsid w:val="005A12D1"/>
    <w:rsid w:val="005A6238"/>
    <w:rsid w:val="005B108D"/>
    <w:rsid w:val="005C0E86"/>
    <w:rsid w:val="005C473C"/>
    <w:rsid w:val="006029BC"/>
    <w:rsid w:val="00613E0C"/>
    <w:rsid w:val="006202FC"/>
    <w:rsid w:val="00645F26"/>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5459"/>
    <w:rsid w:val="0099090E"/>
    <w:rsid w:val="00994776"/>
    <w:rsid w:val="009C69EF"/>
    <w:rsid w:val="00A11051"/>
    <w:rsid w:val="00A36FF0"/>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46121"/>
    <w:rsid w:val="00DA55AF"/>
    <w:rsid w:val="00E02C52"/>
    <w:rsid w:val="00E32710"/>
    <w:rsid w:val="00E55AFD"/>
    <w:rsid w:val="00EA0B2B"/>
    <w:rsid w:val="00EA0C2A"/>
    <w:rsid w:val="00EC3E2F"/>
    <w:rsid w:val="00EC71D6"/>
    <w:rsid w:val="00ED212B"/>
    <w:rsid w:val="00ED5829"/>
    <w:rsid w:val="00F358FB"/>
    <w:rsid w:val="00F406F0"/>
    <w:rsid w:val="00F816CF"/>
    <w:rsid w:val="00FC58DE"/>
    <w:rsid w:val="00FD185D"/>
    <w:rsid w:val="031511C4"/>
    <w:rsid w:val="03B66504"/>
    <w:rsid w:val="04C2712A"/>
    <w:rsid w:val="050D0DFF"/>
    <w:rsid w:val="05946AA8"/>
    <w:rsid w:val="05964D17"/>
    <w:rsid w:val="05E97A42"/>
    <w:rsid w:val="062F259D"/>
    <w:rsid w:val="069C2FDB"/>
    <w:rsid w:val="078E1545"/>
    <w:rsid w:val="07D433FC"/>
    <w:rsid w:val="088C62A9"/>
    <w:rsid w:val="08A737B4"/>
    <w:rsid w:val="09862E1C"/>
    <w:rsid w:val="0A105F5A"/>
    <w:rsid w:val="0AE41BA8"/>
    <w:rsid w:val="0CB90E13"/>
    <w:rsid w:val="0D1A1685"/>
    <w:rsid w:val="0D6E593C"/>
    <w:rsid w:val="0D7156E9"/>
    <w:rsid w:val="0DFE5F93"/>
    <w:rsid w:val="11372E7C"/>
    <w:rsid w:val="11A436E9"/>
    <w:rsid w:val="12922832"/>
    <w:rsid w:val="14025795"/>
    <w:rsid w:val="166562D4"/>
    <w:rsid w:val="16797BBF"/>
    <w:rsid w:val="1744779D"/>
    <w:rsid w:val="17D47866"/>
    <w:rsid w:val="18925339"/>
    <w:rsid w:val="19AA12D5"/>
    <w:rsid w:val="19C37774"/>
    <w:rsid w:val="1A3B37AF"/>
    <w:rsid w:val="1AEB0BFD"/>
    <w:rsid w:val="1B6D4A35"/>
    <w:rsid w:val="1CDF0421"/>
    <w:rsid w:val="1D4858AD"/>
    <w:rsid w:val="1DD20D02"/>
    <w:rsid w:val="1E306BB3"/>
    <w:rsid w:val="1F3507CD"/>
    <w:rsid w:val="1FB231D9"/>
    <w:rsid w:val="20547378"/>
    <w:rsid w:val="207A7ECD"/>
    <w:rsid w:val="21D6027C"/>
    <w:rsid w:val="22364F87"/>
    <w:rsid w:val="22717D6E"/>
    <w:rsid w:val="240C2AD5"/>
    <w:rsid w:val="24BB21AB"/>
    <w:rsid w:val="25095901"/>
    <w:rsid w:val="250A6257"/>
    <w:rsid w:val="26F708D2"/>
    <w:rsid w:val="29D27B7C"/>
    <w:rsid w:val="2A16744D"/>
    <w:rsid w:val="2CEE5518"/>
    <w:rsid w:val="2E0D356F"/>
    <w:rsid w:val="2E153A27"/>
    <w:rsid w:val="2EBD6D82"/>
    <w:rsid w:val="2F6671AD"/>
    <w:rsid w:val="2F6873B1"/>
    <w:rsid w:val="2F6E21FC"/>
    <w:rsid w:val="30006340"/>
    <w:rsid w:val="3010770D"/>
    <w:rsid w:val="303D1BD7"/>
    <w:rsid w:val="30D72AF4"/>
    <w:rsid w:val="31150B4E"/>
    <w:rsid w:val="313A06CD"/>
    <w:rsid w:val="321C02A9"/>
    <w:rsid w:val="32870EE7"/>
    <w:rsid w:val="32D61E6F"/>
    <w:rsid w:val="33761FBB"/>
    <w:rsid w:val="33DB4845"/>
    <w:rsid w:val="34F91B15"/>
    <w:rsid w:val="34FC1B90"/>
    <w:rsid w:val="35066CAF"/>
    <w:rsid w:val="358E1508"/>
    <w:rsid w:val="362D2E86"/>
    <w:rsid w:val="367A5B68"/>
    <w:rsid w:val="37230893"/>
    <w:rsid w:val="38932F9B"/>
    <w:rsid w:val="38D32260"/>
    <w:rsid w:val="390E69E3"/>
    <w:rsid w:val="3B4C7172"/>
    <w:rsid w:val="3BBF2466"/>
    <w:rsid w:val="3BFD20F4"/>
    <w:rsid w:val="3C2D085C"/>
    <w:rsid w:val="3C9E57AB"/>
    <w:rsid w:val="3DD72CD1"/>
    <w:rsid w:val="3DEF26F2"/>
    <w:rsid w:val="3DF55A4D"/>
    <w:rsid w:val="3E9C5D1B"/>
    <w:rsid w:val="3ED64BBE"/>
    <w:rsid w:val="3ED951C1"/>
    <w:rsid w:val="3F2A10A1"/>
    <w:rsid w:val="3FE756BB"/>
    <w:rsid w:val="41984EBF"/>
    <w:rsid w:val="46333408"/>
    <w:rsid w:val="46BB51AC"/>
    <w:rsid w:val="46CD602F"/>
    <w:rsid w:val="47925F0D"/>
    <w:rsid w:val="481501C1"/>
    <w:rsid w:val="48763A80"/>
    <w:rsid w:val="49364129"/>
    <w:rsid w:val="49C10AB8"/>
    <w:rsid w:val="49E850E9"/>
    <w:rsid w:val="4BAB1C93"/>
    <w:rsid w:val="4BCC28DA"/>
    <w:rsid w:val="4CE06225"/>
    <w:rsid w:val="52161CCE"/>
    <w:rsid w:val="523C1897"/>
    <w:rsid w:val="52AD5CC3"/>
    <w:rsid w:val="533B7DA0"/>
    <w:rsid w:val="53A81CCE"/>
    <w:rsid w:val="549A1F49"/>
    <w:rsid w:val="54E029AD"/>
    <w:rsid w:val="58B24661"/>
    <w:rsid w:val="59E26EC6"/>
    <w:rsid w:val="5CCB5CF1"/>
    <w:rsid w:val="5CF57894"/>
    <w:rsid w:val="5DE210AC"/>
    <w:rsid w:val="5EBC2962"/>
    <w:rsid w:val="5F1273F4"/>
    <w:rsid w:val="600532C8"/>
    <w:rsid w:val="6030402B"/>
    <w:rsid w:val="60B36F6B"/>
    <w:rsid w:val="61DC78F0"/>
    <w:rsid w:val="642E1D00"/>
    <w:rsid w:val="6461150A"/>
    <w:rsid w:val="64840F99"/>
    <w:rsid w:val="64F821ED"/>
    <w:rsid w:val="664222A2"/>
    <w:rsid w:val="66E83852"/>
    <w:rsid w:val="67541A30"/>
    <w:rsid w:val="67BB6C5C"/>
    <w:rsid w:val="692653CC"/>
    <w:rsid w:val="6A3463AB"/>
    <w:rsid w:val="6B6E488A"/>
    <w:rsid w:val="6B8754D9"/>
    <w:rsid w:val="6CA200F0"/>
    <w:rsid w:val="6D260D22"/>
    <w:rsid w:val="6D300C38"/>
    <w:rsid w:val="6D5C33EC"/>
    <w:rsid w:val="6DB602F7"/>
    <w:rsid w:val="6DEB0E5E"/>
    <w:rsid w:val="6DFC2706"/>
    <w:rsid w:val="6E22404F"/>
    <w:rsid w:val="6E5D6F8E"/>
    <w:rsid w:val="6EE175F6"/>
    <w:rsid w:val="6F1C418A"/>
    <w:rsid w:val="700370F8"/>
    <w:rsid w:val="70274DB1"/>
    <w:rsid w:val="70CD6084"/>
    <w:rsid w:val="70E00746"/>
    <w:rsid w:val="71111A67"/>
    <w:rsid w:val="71907A2A"/>
    <w:rsid w:val="73654479"/>
    <w:rsid w:val="73B70925"/>
    <w:rsid w:val="74853969"/>
    <w:rsid w:val="74E92D60"/>
    <w:rsid w:val="75157EFF"/>
    <w:rsid w:val="752960D5"/>
    <w:rsid w:val="758E67A5"/>
    <w:rsid w:val="75A0231E"/>
    <w:rsid w:val="75E37423"/>
    <w:rsid w:val="76B92D89"/>
    <w:rsid w:val="774150D6"/>
    <w:rsid w:val="7765164C"/>
    <w:rsid w:val="77D1543A"/>
    <w:rsid w:val="782868C6"/>
    <w:rsid w:val="79142376"/>
    <w:rsid w:val="795D1F6F"/>
    <w:rsid w:val="7A761E99"/>
    <w:rsid w:val="7AD7365B"/>
    <w:rsid w:val="7C9C4F8C"/>
    <w:rsid w:val="7F5B485B"/>
    <w:rsid w:val="7FB36445"/>
    <w:rsid w:val="7FE11001"/>
    <w:rsid w:val="DFAF7D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0"/>
    <w:pPr>
      <w:keepNext/>
      <w:keepLines/>
      <w:spacing w:line="600" w:lineRule="exact"/>
      <w:jc w:val="center"/>
      <w:outlineLvl w:val="0"/>
    </w:pPr>
    <w:rPr>
      <w:rFonts w:eastAsia="华文细黑"/>
      <w:b/>
      <w:bCs/>
      <w:kern w:val="44"/>
      <w:sz w:val="36"/>
      <w:szCs w:val="44"/>
    </w:rPr>
  </w:style>
  <w:style w:type="paragraph" w:styleId="3">
    <w:name w:val="heading 2"/>
    <w:basedOn w:val="1"/>
    <w:next w:val="1"/>
    <w:link w:val="1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Char"/>
    <w:basedOn w:val="8"/>
    <w:link w:val="2"/>
    <w:qFormat/>
    <w:uiPriority w:val="0"/>
    <w:rPr>
      <w:rFonts w:ascii="Times New Roman" w:hAnsi="Times New Roman" w:eastAsia="华文细黑" w:cs="Times New Roman"/>
      <w:b/>
      <w:bCs/>
      <w:kern w:val="44"/>
      <w:sz w:val="36"/>
      <w:szCs w:val="44"/>
    </w:rPr>
  </w:style>
  <w:style w:type="character" w:customStyle="1" w:styleId="10">
    <w:name w:val="页眉 Char"/>
    <w:basedOn w:val="8"/>
    <w:link w:val="5"/>
    <w:qFormat/>
    <w:uiPriority w:val="99"/>
    <w:rPr>
      <w:rFonts w:ascii="Times New Roman" w:hAnsi="Times New Roman" w:eastAsia="宋体" w:cs="Times New Roman"/>
      <w:sz w:val="18"/>
      <w:szCs w:val="18"/>
    </w:rPr>
  </w:style>
  <w:style w:type="character" w:customStyle="1" w:styleId="11">
    <w:name w:val="页脚 Char"/>
    <w:basedOn w:val="8"/>
    <w:link w:val="4"/>
    <w:qFormat/>
    <w:uiPriority w:val="99"/>
    <w:rPr>
      <w:rFonts w:ascii="Times New Roman" w:hAnsi="Times New Roman" w:eastAsia="宋体" w:cs="Times New Roman"/>
      <w:sz w:val="18"/>
      <w:szCs w:val="18"/>
    </w:rPr>
  </w:style>
  <w:style w:type="character" w:customStyle="1" w:styleId="12">
    <w:name w:val="标题 2 Char"/>
    <w:basedOn w:val="8"/>
    <w:link w:val="3"/>
    <w:semiHidden/>
    <w:qFormat/>
    <w:uiPriority w:val="9"/>
    <w:rPr>
      <w:rFonts w:asciiTheme="majorHAnsi" w:hAnsiTheme="majorHAnsi" w:eastAsiaTheme="majorEastAsia" w:cstheme="majorBidi"/>
      <w:b/>
      <w:bCs/>
      <w:sz w:val="32"/>
      <w:szCs w:val="32"/>
    </w:rPr>
  </w:style>
  <w:style w:type="character" w:customStyle="1" w:styleId="13">
    <w:name w:val="font71"/>
    <w:basedOn w:val="8"/>
    <w:qFormat/>
    <w:uiPriority w:val="0"/>
    <w:rPr>
      <w:rFonts w:hint="eastAsia" w:ascii="宋体" w:hAnsi="宋体" w:eastAsia="宋体" w:cs="宋体"/>
      <w:color w:val="000000"/>
      <w:sz w:val="20"/>
      <w:szCs w:val="20"/>
      <w:u w:val="none"/>
    </w:rPr>
  </w:style>
  <w:style w:type="character" w:customStyle="1" w:styleId="14">
    <w:name w:val="font91"/>
    <w:basedOn w:val="8"/>
    <w:qFormat/>
    <w:uiPriority w:val="0"/>
    <w:rPr>
      <w:rFonts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10</Pages>
  <Words>3989</Words>
  <Characters>4727</Characters>
  <Lines>28</Lines>
  <Paragraphs>7</Paragraphs>
  <TotalTime>12</TotalTime>
  <ScaleCrop>false</ScaleCrop>
  <LinksUpToDate>false</LinksUpToDate>
  <CharactersWithSpaces>5129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2022-02-23T17:47:00Z</dcterms:created>
  <dc:creator>NTKO</dc:creator>
  <cp:lastModifiedBy>Administrator</cp:lastModifiedBy>
  <cp:lastPrinted>2022-03-16T08:03:00Z</cp:lastPrinted>
  <dcterms:modified xsi:type="dcterms:W3CDTF">2022-12-13T12:05:31Z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C6267065DCC744718D34140905C534AB</vt:lpwstr>
  </property>
  <property fmtid="{D5CDD505-2E9C-101B-9397-08002B2CF9AE}" pid="4" name="KSOSaveFontToCloudKey">
    <vt:lpwstr>1029683833_btnclosed</vt:lpwstr>
  </property>
</Properties>
</file>